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3.xml" ContentType="application/vnd.ms-office.classificationlabels+xml"/>
  <Override PartName="/docMetadata/LabelInfo2.xml" ContentType="application/vnd.ms-office.classificationlabels+xml"/>
  <Override PartName="/docMetadata/LabelInfo1.xml" ContentType="application/vnd.ms-office.classificationlabels+xml"/>
  <Override PartName="/docMetadata/LabelInfo0.xml" ContentType="application/vnd.ms-office.classificationlabel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8" Type="http://schemas.microsoft.com/office/2020/02/relationships/classificationlabels" Target="docMetadata/LabelInfo3.xml"/><Relationship Id="rId3" Type="http://schemas.openxmlformats.org/officeDocument/2006/relationships/extended-properties" Target="docProps/app.xml"/><Relationship Id="rId7" Type="http://schemas.microsoft.com/office/2020/02/relationships/classificationlabels" Target="docMetadata/LabelInfo2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1.xml"/><Relationship Id="rId5" Type="http://schemas.microsoft.com/office/2020/02/relationships/classificationlabels" Target="docMetadata/LabelInfo0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736D0" w14:textId="2BBF5B6D" w:rsidR="007D2794" w:rsidRPr="004F2685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</w:t>
      </w:r>
      <w:r w:rsidRPr="004F2685">
        <w:rPr>
          <w:b/>
          <w:snapToGrid w:val="0"/>
          <w:sz w:val="22"/>
          <w:szCs w:val="22"/>
        </w:rPr>
        <w:t xml:space="preserve">Počet stran : </w:t>
      </w:r>
      <w:r w:rsidR="002C7194" w:rsidRPr="004F2685">
        <w:rPr>
          <w:b/>
          <w:snapToGrid w:val="0"/>
          <w:sz w:val="22"/>
          <w:szCs w:val="22"/>
          <w:lang w:val="cs-CZ"/>
        </w:rPr>
        <w:t>1</w:t>
      </w:r>
      <w:r w:rsidR="00ED2EF8">
        <w:rPr>
          <w:b/>
          <w:snapToGrid w:val="0"/>
          <w:sz w:val="22"/>
          <w:szCs w:val="22"/>
          <w:lang w:val="cs-CZ"/>
        </w:rPr>
        <w:t>7</w:t>
      </w:r>
    </w:p>
    <w:p w14:paraId="21EEAE6B" w14:textId="77777777" w:rsidR="007D2794" w:rsidRPr="004F2685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5CA60514" w14:textId="77777777" w:rsidR="007D2794" w:rsidRPr="004F2685" w:rsidRDefault="007D2794" w:rsidP="007D2794">
      <w:pPr>
        <w:pStyle w:val="Zkladn"/>
        <w:rPr>
          <w:snapToGrid w:val="0"/>
          <w:sz w:val="22"/>
          <w:szCs w:val="22"/>
        </w:rPr>
      </w:pPr>
    </w:p>
    <w:p w14:paraId="681DB1AC" w14:textId="77777777" w:rsidR="007D2794" w:rsidRPr="004F2685" w:rsidRDefault="007D2794" w:rsidP="007D2794">
      <w:pPr>
        <w:pStyle w:val="Zkladn"/>
        <w:rPr>
          <w:snapToGrid w:val="0"/>
          <w:sz w:val="22"/>
          <w:szCs w:val="22"/>
        </w:rPr>
      </w:pPr>
    </w:p>
    <w:p w14:paraId="5635F26B" w14:textId="77777777" w:rsidR="007D2794" w:rsidRPr="004F2685" w:rsidRDefault="007D2794" w:rsidP="007D2794">
      <w:pPr>
        <w:pStyle w:val="Zkladn"/>
        <w:rPr>
          <w:snapToGrid w:val="0"/>
          <w:sz w:val="22"/>
          <w:szCs w:val="22"/>
        </w:rPr>
      </w:pPr>
    </w:p>
    <w:p w14:paraId="6EA1D207" w14:textId="77777777" w:rsidR="007D2794" w:rsidRPr="004F2685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1034A9B" w14:textId="77777777" w:rsidR="007D2794" w:rsidRPr="004F2685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6520417" w14:textId="77777777" w:rsidR="007D2794" w:rsidRPr="004F2685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1373896D" w14:textId="77777777" w:rsidR="007D2794" w:rsidRPr="004F2685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26BCE5F" w14:textId="77777777" w:rsidR="007D2794" w:rsidRPr="004F2685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0CD9000F" w14:textId="77777777" w:rsidR="007D2794" w:rsidRPr="004F2685" w:rsidRDefault="005A6848" w:rsidP="00E32700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 w:rsidRPr="004F2685">
        <w:rPr>
          <w:b/>
          <w:bCs/>
          <w:caps/>
          <w:snapToGrid w:val="0"/>
          <w:sz w:val="44"/>
          <w:szCs w:val="40"/>
          <w:lang w:val="cs-CZ"/>
        </w:rPr>
        <w:t>B</w:t>
      </w:r>
      <w:r w:rsidR="007D2794" w:rsidRPr="004F2685">
        <w:rPr>
          <w:b/>
          <w:bCs/>
          <w:caps/>
          <w:snapToGrid w:val="0"/>
          <w:sz w:val="44"/>
          <w:szCs w:val="40"/>
          <w:lang w:val="cs-CZ"/>
        </w:rPr>
        <w:t xml:space="preserve">. </w:t>
      </w:r>
      <w:r w:rsidRPr="004F2685">
        <w:rPr>
          <w:b/>
          <w:bCs/>
          <w:caps/>
          <w:snapToGrid w:val="0"/>
          <w:sz w:val="44"/>
          <w:szCs w:val="40"/>
          <w:lang w:val="cs-CZ"/>
        </w:rPr>
        <w:t>SOUHRN</w:t>
      </w:r>
      <w:r w:rsidR="00C05CC7" w:rsidRPr="004F2685">
        <w:rPr>
          <w:b/>
          <w:bCs/>
          <w:caps/>
          <w:snapToGrid w:val="0"/>
          <w:sz w:val="44"/>
          <w:szCs w:val="40"/>
          <w:lang w:val="cs-CZ"/>
        </w:rPr>
        <w:t>n</w:t>
      </w:r>
      <w:r w:rsidRPr="004F2685">
        <w:rPr>
          <w:b/>
          <w:bCs/>
          <w:caps/>
          <w:snapToGrid w:val="0"/>
          <w:sz w:val="44"/>
          <w:szCs w:val="40"/>
          <w:lang w:val="cs-CZ"/>
        </w:rPr>
        <w:t>Á TECHNICKÁ ZPRÁVA</w:t>
      </w:r>
    </w:p>
    <w:p w14:paraId="7BE4085A" w14:textId="77777777" w:rsidR="007D2794" w:rsidRPr="004F2685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6215AC8" w14:textId="77777777" w:rsidR="007D2794" w:rsidRPr="004F2685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8A48EAF" w14:textId="77777777" w:rsidR="007D2794" w:rsidRPr="004F2685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5C02BC4B" w14:textId="77777777" w:rsidR="007D2794" w:rsidRPr="004F2685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FFE78A9" w14:textId="77777777" w:rsidR="007D2794" w:rsidRPr="004F2685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067EF6C" w14:textId="77777777" w:rsidR="007D2794" w:rsidRPr="004F2685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E58B7CE" w14:textId="77777777" w:rsidR="007D2794" w:rsidRPr="004F2685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90552B" w14:textId="77777777" w:rsidR="007D2794" w:rsidRPr="004F2685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8202BDD" w14:textId="77777777" w:rsidR="007D2794" w:rsidRPr="004F2685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453F7D93" w14:textId="77777777" w:rsidR="007D2794" w:rsidRPr="004F2685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FC14466" w14:textId="77777777" w:rsidR="007D2794" w:rsidRPr="004F2685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469C849" w14:textId="77777777" w:rsidR="007D2794" w:rsidRPr="004F2685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9355A16" w14:textId="77777777" w:rsidR="007D2794" w:rsidRPr="004F2685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ECDAEFE" w14:textId="71F8724E" w:rsidR="007D2794" w:rsidRPr="004F2685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4F2685">
        <w:rPr>
          <w:rFonts w:ascii="Times New Roman" w:hAnsi="Times New Roman" w:cs="Times New Roman"/>
          <w:sz w:val="24"/>
          <w:szCs w:val="24"/>
        </w:rPr>
        <w:t>Akce</w:t>
      </w:r>
      <w:r w:rsidRPr="004F2685">
        <w:rPr>
          <w:rFonts w:ascii="Times New Roman" w:hAnsi="Times New Roman" w:cs="Times New Roman"/>
          <w:sz w:val="24"/>
          <w:szCs w:val="24"/>
        </w:rPr>
        <w:tab/>
        <w:t>:</w:t>
      </w:r>
      <w:r w:rsidRPr="004F2685">
        <w:rPr>
          <w:rFonts w:ascii="Times New Roman" w:hAnsi="Times New Roman" w:cs="Times New Roman"/>
          <w:sz w:val="24"/>
          <w:szCs w:val="24"/>
        </w:rPr>
        <w:tab/>
      </w:r>
      <w:r w:rsidR="001A2B55" w:rsidRPr="004F2685">
        <w:rPr>
          <w:rFonts w:ascii="Times New Roman" w:hAnsi="Times New Roman" w:cs="Times New Roman"/>
          <w:sz w:val="24"/>
          <w:szCs w:val="24"/>
        </w:rPr>
        <w:t xml:space="preserve">Rekonstrukce brouzdaliště na koupališti </w:t>
      </w:r>
      <w:proofErr w:type="spellStart"/>
      <w:r w:rsidR="001A2B55" w:rsidRPr="004F2685">
        <w:rPr>
          <w:rFonts w:ascii="Times New Roman" w:hAnsi="Times New Roman" w:cs="Times New Roman"/>
          <w:sz w:val="24"/>
          <w:szCs w:val="24"/>
        </w:rPr>
        <w:t>Baťov</w:t>
      </w:r>
      <w:proofErr w:type="spellEnd"/>
    </w:p>
    <w:p w14:paraId="58EE8FBF" w14:textId="77777777" w:rsidR="0016702D" w:rsidRPr="004F2685" w:rsidRDefault="0016702D" w:rsidP="0016702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4F2685">
        <w:rPr>
          <w:rFonts w:ascii="Times New Roman" w:hAnsi="Times New Roman" w:cs="Times New Roman"/>
          <w:sz w:val="24"/>
          <w:szCs w:val="24"/>
        </w:rPr>
        <w:t>Místo</w:t>
      </w:r>
      <w:r w:rsidRPr="004F2685">
        <w:rPr>
          <w:rFonts w:ascii="Times New Roman" w:hAnsi="Times New Roman" w:cs="Times New Roman"/>
          <w:sz w:val="24"/>
          <w:szCs w:val="24"/>
        </w:rPr>
        <w:tab/>
        <w:t>:</w:t>
      </w:r>
      <w:r w:rsidRPr="004F2685">
        <w:rPr>
          <w:rFonts w:ascii="Times New Roman" w:hAnsi="Times New Roman" w:cs="Times New Roman"/>
          <w:sz w:val="24"/>
          <w:szCs w:val="24"/>
        </w:rPr>
        <w:tab/>
      </w:r>
      <w:bookmarkStart w:id="0" w:name="_Hlk51267817"/>
      <w:r w:rsidRPr="004F2685">
        <w:rPr>
          <w:rFonts w:ascii="Times New Roman" w:hAnsi="Times New Roman" w:cs="Times New Roman"/>
          <w:sz w:val="24"/>
          <w:szCs w:val="24"/>
          <w:shd w:val="clear" w:color="auto" w:fill="FFFFFF"/>
        </w:rPr>
        <w:t>Mánesova 1629, 765 02 Otrokovice</w:t>
      </w:r>
      <w:bookmarkEnd w:id="0"/>
    </w:p>
    <w:p w14:paraId="530D8AB9" w14:textId="77777777" w:rsidR="0016702D" w:rsidRPr="004F2685" w:rsidRDefault="0016702D" w:rsidP="0016702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Cs/>
          <w:sz w:val="24"/>
          <w:szCs w:val="24"/>
        </w:rPr>
      </w:pPr>
      <w:r w:rsidRPr="004F2685">
        <w:rPr>
          <w:rFonts w:ascii="Times New Roman" w:hAnsi="Times New Roman" w:cs="Times New Roman"/>
          <w:bCs/>
          <w:sz w:val="24"/>
          <w:szCs w:val="24"/>
        </w:rPr>
        <w:t>Investor:</w:t>
      </w:r>
      <w:r w:rsidRPr="004F2685">
        <w:rPr>
          <w:rFonts w:ascii="Times New Roman" w:hAnsi="Times New Roman" w:cs="Times New Roman"/>
          <w:bCs/>
          <w:sz w:val="24"/>
          <w:szCs w:val="24"/>
        </w:rPr>
        <w:tab/>
      </w:r>
      <w:bookmarkStart w:id="1" w:name="_Hlk51267823"/>
      <w:r w:rsidRPr="004F2685">
        <w:rPr>
          <w:rFonts w:ascii="Times New Roman" w:hAnsi="Times New Roman" w:cs="Times New Roman"/>
          <w:bCs/>
          <w:sz w:val="24"/>
          <w:szCs w:val="24"/>
        </w:rPr>
        <w:t>město Otrokovice, nám. 3. května 1340, 765 23 Otrokovice</w:t>
      </w:r>
      <w:bookmarkEnd w:id="1"/>
    </w:p>
    <w:p w14:paraId="498FAA1B" w14:textId="4EA0DAE4" w:rsidR="0016702D" w:rsidRPr="004F2685" w:rsidRDefault="0016702D" w:rsidP="0016702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4F2685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4F2685">
        <w:rPr>
          <w:rFonts w:ascii="Times New Roman" w:hAnsi="Times New Roman" w:cs="Times New Roman"/>
          <w:sz w:val="24"/>
          <w:szCs w:val="24"/>
        </w:rPr>
        <w:tab/>
      </w:r>
      <w:r w:rsidR="00EA60B1" w:rsidRPr="004F2685">
        <w:rPr>
          <w:rFonts w:ascii="Times New Roman" w:hAnsi="Times New Roman" w:cs="Times New Roman"/>
          <w:sz w:val="24"/>
          <w:szCs w:val="24"/>
        </w:rPr>
        <w:t>DPS</w:t>
      </w:r>
    </w:p>
    <w:p w14:paraId="277DB1EA" w14:textId="03643DC9" w:rsidR="0016702D" w:rsidRPr="004F2685" w:rsidRDefault="005C5116" w:rsidP="0016702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4F2685">
        <w:rPr>
          <w:rFonts w:ascii="Times New Roman" w:hAnsi="Times New Roman" w:cs="Times New Roman"/>
          <w:sz w:val="24"/>
          <w:szCs w:val="24"/>
        </w:rPr>
        <w:t>Hlavní</w:t>
      </w:r>
      <w:r w:rsidR="0016702D" w:rsidRPr="004F2685">
        <w:rPr>
          <w:rFonts w:ascii="Times New Roman" w:hAnsi="Times New Roman" w:cs="Times New Roman"/>
          <w:sz w:val="24"/>
          <w:szCs w:val="24"/>
        </w:rPr>
        <w:t xml:space="preserve"> projektant:</w:t>
      </w:r>
      <w:r w:rsidR="0016702D" w:rsidRPr="004F2685">
        <w:rPr>
          <w:rFonts w:ascii="Times New Roman" w:hAnsi="Times New Roman" w:cs="Times New Roman"/>
          <w:sz w:val="24"/>
          <w:szCs w:val="24"/>
        </w:rPr>
        <w:tab/>
      </w:r>
      <w:bookmarkStart w:id="2" w:name="_Hlk51267836"/>
      <w:r w:rsidR="0016702D" w:rsidRPr="004F2685">
        <w:rPr>
          <w:rFonts w:ascii="Times New Roman" w:hAnsi="Times New Roman" w:cs="Times New Roman"/>
          <w:sz w:val="24"/>
          <w:szCs w:val="24"/>
        </w:rPr>
        <w:t>Jaroslav Pavelka</w:t>
      </w:r>
      <w:bookmarkEnd w:id="2"/>
    </w:p>
    <w:p w14:paraId="1C1F2B43" w14:textId="6AE897C6" w:rsidR="0016702D" w:rsidRPr="004F2685" w:rsidRDefault="0016702D" w:rsidP="0016702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2685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4F2685">
        <w:rPr>
          <w:rFonts w:ascii="Times New Roman" w:hAnsi="Times New Roman" w:cs="Times New Roman"/>
          <w:sz w:val="24"/>
          <w:szCs w:val="24"/>
        </w:rPr>
        <w:t>. číslo:</w:t>
      </w:r>
      <w:r w:rsidRPr="004F2685">
        <w:rPr>
          <w:rFonts w:ascii="Times New Roman" w:hAnsi="Times New Roman" w:cs="Times New Roman"/>
          <w:sz w:val="24"/>
          <w:szCs w:val="24"/>
        </w:rPr>
        <w:tab/>
      </w:r>
      <w:bookmarkStart w:id="3" w:name="_Hlk51267843"/>
      <w:r w:rsidRPr="004F268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068-20</w:t>
      </w:r>
      <w:bookmarkEnd w:id="3"/>
    </w:p>
    <w:p w14:paraId="72CB673A" w14:textId="75DC8579" w:rsidR="0016702D" w:rsidRPr="004F2685" w:rsidRDefault="0016702D" w:rsidP="0016702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4F2685">
        <w:rPr>
          <w:rFonts w:ascii="Times New Roman" w:hAnsi="Times New Roman" w:cs="Times New Roman"/>
          <w:sz w:val="24"/>
          <w:szCs w:val="24"/>
        </w:rPr>
        <w:t>Arch. č.:</w:t>
      </w:r>
      <w:r w:rsidRPr="004F2685">
        <w:rPr>
          <w:rFonts w:ascii="Times New Roman" w:hAnsi="Times New Roman" w:cs="Times New Roman"/>
          <w:sz w:val="24"/>
          <w:szCs w:val="24"/>
        </w:rPr>
        <w:tab/>
      </w:r>
      <w:r w:rsidRPr="004F268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06820</w:t>
      </w:r>
    </w:p>
    <w:p w14:paraId="00441DA0" w14:textId="7D29E782" w:rsidR="0016702D" w:rsidRPr="004F2685" w:rsidRDefault="0016702D" w:rsidP="0016702D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4F2685">
        <w:rPr>
          <w:rFonts w:ascii="Times New Roman" w:hAnsi="Times New Roman" w:cs="Times New Roman"/>
          <w:sz w:val="24"/>
          <w:szCs w:val="24"/>
        </w:rPr>
        <w:t>Datum:</w:t>
      </w:r>
      <w:r w:rsidRPr="004F2685">
        <w:rPr>
          <w:rFonts w:ascii="Times New Roman" w:hAnsi="Times New Roman" w:cs="Times New Roman"/>
          <w:b/>
          <w:sz w:val="24"/>
          <w:szCs w:val="24"/>
        </w:rPr>
        <w:tab/>
      </w:r>
      <w:r w:rsidR="00F33757" w:rsidRPr="004F2685">
        <w:rPr>
          <w:rFonts w:ascii="Times New Roman" w:hAnsi="Times New Roman" w:cs="Times New Roman"/>
          <w:b/>
          <w:sz w:val="24"/>
          <w:szCs w:val="24"/>
        </w:rPr>
        <w:t>listopad</w:t>
      </w:r>
      <w:r w:rsidRPr="004F2685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14:paraId="31E30191" w14:textId="77777777" w:rsidR="007D2794" w:rsidRPr="004F2685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</w:p>
    <w:p w14:paraId="6CBFE094" w14:textId="77777777" w:rsidR="007D2794" w:rsidRPr="004F2685" w:rsidRDefault="007D2794" w:rsidP="007E757C">
      <w:pPr>
        <w:tabs>
          <w:tab w:val="left" w:pos="851"/>
        </w:tabs>
        <w:spacing w:before="120" w:line="240" w:lineRule="auto"/>
        <w:ind w:right="-285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81783DB" w14:textId="77777777" w:rsidR="007E757C" w:rsidRPr="004F2685" w:rsidRDefault="007E757C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4F2685">
            <w:rPr>
              <w:rFonts w:ascii="Times New Roman" w:hAnsi="Times New Roman" w:cs="Times New Roman"/>
              <w:color w:val="auto"/>
            </w:rPr>
            <w:t>Obsah</w:t>
          </w:r>
        </w:p>
        <w:p w14:paraId="0BD6C531" w14:textId="21989DA6" w:rsidR="002C7194" w:rsidRPr="004F2685" w:rsidRDefault="0028265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4F2685">
            <w:rPr>
              <w:rFonts w:ascii="Times New Roman" w:hAnsi="Times New Roman" w:cs="Times New Roman"/>
            </w:rPr>
            <w:fldChar w:fldCharType="begin"/>
          </w:r>
          <w:r w:rsidRPr="004F2685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4F2685">
            <w:rPr>
              <w:rFonts w:ascii="Times New Roman" w:hAnsi="Times New Roman" w:cs="Times New Roman"/>
            </w:rPr>
            <w:fldChar w:fldCharType="separate"/>
          </w:r>
          <w:hyperlink w:anchor="_Toc55326790" w:history="1">
            <w:r w:rsidR="002C7194" w:rsidRPr="004F2685">
              <w:rPr>
                <w:rStyle w:val="Hypertextovodkaz"/>
                <w:noProof/>
              </w:rPr>
              <w:t>B.1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Popis území stavby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_Toc55326790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4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4957A02C" w14:textId="5A514F26" w:rsidR="002C7194" w:rsidRPr="004F2685" w:rsidRDefault="00331C6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791" w:history="1">
            <w:r w:rsidR="002C7194" w:rsidRPr="004F2685">
              <w:rPr>
                <w:rStyle w:val="Hypertextovodkaz"/>
                <w:noProof/>
              </w:rPr>
              <w:t>B.2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Celkový popis stavby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_Toc55326791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6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41A89ABD" w14:textId="79CAB626" w:rsidR="002C7194" w:rsidRPr="004F2685" w:rsidRDefault="00331C6E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792" w:history="1">
            <w:r w:rsidR="002C7194" w:rsidRPr="004F2685">
              <w:rPr>
                <w:rStyle w:val="Hypertextovodkaz"/>
                <w:noProof/>
              </w:rPr>
              <w:t>B.2.1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Základní charakteristika stavby a jejího užívání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_Toc55326792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6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7C452DEE" w14:textId="0D82E63F" w:rsidR="002C7194" w:rsidRPr="004F2685" w:rsidRDefault="00331C6E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793" w:history="1">
            <w:r w:rsidR="002C7194" w:rsidRPr="004F2685">
              <w:rPr>
                <w:rStyle w:val="Hypertextovodkaz"/>
                <w:noProof/>
              </w:rPr>
              <w:t>B.2.2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Celkové urbanistické a architektonické řešení stavby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_Toc55326793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7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05000B89" w14:textId="39D0E9B4" w:rsidR="002C7194" w:rsidRPr="004F2685" w:rsidRDefault="00331C6E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794" w:history="1">
            <w:r w:rsidR="002C7194" w:rsidRPr="004F2685">
              <w:rPr>
                <w:rStyle w:val="Hypertextovodkaz"/>
                <w:noProof/>
              </w:rPr>
              <w:t>B.2.3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Celkové provozní řešení, technologie výroby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_Toc55326794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7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6DC734D9" w14:textId="23BE28A5" w:rsidR="002C7194" w:rsidRPr="004F2685" w:rsidRDefault="00331C6E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795" w:history="1">
            <w:r w:rsidR="002C7194" w:rsidRPr="004F2685">
              <w:rPr>
                <w:rStyle w:val="Hypertextovodkaz"/>
                <w:noProof/>
              </w:rPr>
              <w:t>B.2.4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Bezbariérové užívání stavby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_Toc55326795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7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0E435DE0" w14:textId="5A77B81F" w:rsidR="002C7194" w:rsidRPr="004F2685" w:rsidRDefault="00331C6E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796" w:history="1">
            <w:r w:rsidR="002C7194" w:rsidRPr="004F2685">
              <w:rPr>
                <w:rStyle w:val="Hypertextovodkaz"/>
                <w:noProof/>
              </w:rPr>
              <w:t>B.2.5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Bezpečnost při užívání stavby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_Toc55326796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7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4975035C" w14:textId="6D514D55" w:rsidR="002C7194" w:rsidRPr="004F2685" w:rsidRDefault="00331C6E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797" w:history="1">
            <w:r w:rsidR="002C7194" w:rsidRPr="004F2685">
              <w:rPr>
                <w:rStyle w:val="Hypertextovodkaz"/>
                <w:noProof/>
              </w:rPr>
              <w:t>B.2.6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Základní charakteristika objektů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_Toc55326797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290EC7F9" w14:textId="198E9E6C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798" w:history="1">
            <w:r w:rsidR="002C7194" w:rsidRPr="004F2685">
              <w:rPr>
                <w:rStyle w:val="Hypertextovodkaz"/>
                <w:noProof/>
              </w:rPr>
              <w:t>Stavební objekty: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_Toc55326798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371A7659" w14:textId="4F758FB0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799" w:history="1">
            <w:r w:rsidR="002C7194" w:rsidRPr="004F2685">
              <w:rPr>
                <w:rStyle w:val="Hypertextovodkaz"/>
                <w:bCs/>
                <w:noProof/>
              </w:rPr>
              <w:t>SO 01 – Brouzdaliště a brodítka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_Toc55326799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0D3AF479" w14:textId="7F9022A3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00" w:history="1">
            <w:r w:rsidR="002C7194" w:rsidRPr="004F2685">
              <w:rPr>
                <w:rStyle w:val="Hypertextovodkaz"/>
                <w:bCs/>
                <w:noProof/>
              </w:rPr>
              <w:t>SO 02 – Skluzavky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_Toc55326800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29C18C04" w14:textId="308A051A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01" w:history="1">
            <w:r w:rsidR="002C7194" w:rsidRPr="004F2685">
              <w:rPr>
                <w:rStyle w:val="Hypertextovodkaz"/>
                <w:bCs/>
                <w:noProof/>
              </w:rPr>
              <w:t>SO 03 – Zpevněné plochy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_Toc55326801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012548ED" w14:textId="2AF50A5F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02" w:history="1">
            <w:r w:rsidR="002C7194" w:rsidRPr="004F2685">
              <w:rPr>
                <w:rStyle w:val="Hypertextovodkaz"/>
                <w:bCs/>
                <w:noProof/>
              </w:rPr>
              <w:t>SO 04 – Šachty pro bazénovou technologii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_Toc55326802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0E6B6CEA" w14:textId="4ACFBC6C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03" w:history="1">
            <w:r w:rsidR="002C7194" w:rsidRPr="004F2685">
              <w:rPr>
                <w:rStyle w:val="Hypertextovodkaz"/>
                <w:bCs/>
                <w:noProof/>
              </w:rPr>
              <w:t>SO 05 – Silnoproud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_Toc55326803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4A3E050E" w14:textId="5CC7CD31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04" w:history="1">
            <w:r w:rsidR="002C7194" w:rsidRPr="004F2685">
              <w:rPr>
                <w:rStyle w:val="Hypertextovodkaz"/>
                <w:bCs/>
                <w:noProof/>
              </w:rPr>
              <w:t>SO 06 – Areálová kanalizace a vodovod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_Toc55326804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4854CA55" w14:textId="388031B7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05" w:history="1">
            <w:r w:rsidR="002C7194" w:rsidRPr="004F2685">
              <w:rPr>
                <w:rStyle w:val="Hypertextovodkaz"/>
                <w:noProof/>
              </w:rPr>
              <w:t>Provozní soubory: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_Toc55326805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77E2F1BF" w14:textId="36B66AF7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06" w:history="1">
            <w:r w:rsidR="002C7194" w:rsidRPr="004F2685">
              <w:rPr>
                <w:rStyle w:val="Hypertextovodkaz"/>
                <w:bCs/>
                <w:noProof/>
              </w:rPr>
              <w:t>PS 01 – Bazénová technologie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_Toc55326806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5861288B" w14:textId="5E4E46F7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07" w:history="1">
            <w:r w:rsidR="002C7194" w:rsidRPr="004F2685">
              <w:rPr>
                <w:rStyle w:val="Hypertextovodkaz"/>
                <w:bCs/>
                <w:noProof/>
              </w:rPr>
              <w:t>SO 01 – Brouzdaliště a brodítka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_Toc55326807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225D3597" w14:textId="03BE67E4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08" w:history="1">
            <w:r w:rsidR="002C7194" w:rsidRPr="004F2685">
              <w:rPr>
                <w:rStyle w:val="Hypertextovodkaz"/>
                <w:bCs/>
                <w:noProof/>
              </w:rPr>
              <w:t>Brouzdaliště je řešeno jako ŽB monolitická konstrukce, o rozměrech 12 x 10,6 m, hloubky 0,4 – 0,35 metru a 15,46 x 6,6 metru, hloubky 0,05 – 0,2 metru. Brodítka jsou řešena jako monolitická ŽB konstrukce o rozměrech 2,4 x 2 metry.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_Toc55326808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6CDD9434" w14:textId="4EDF8E43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09" w:history="1">
            <w:r w:rsidR="002C7194" w:rsidRPr="004F2685">
              <w:rPr>
                <w:rStyle w:val="Hypertextovodkaz"/>
                <w:bCs/>
                <w:noProof/>
              </w:rPr>
              <w:t>SO 02 - Skluzavky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_Toc55326809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0B8B917F" w14:textId="626CFDCF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10" w:history="1">
            <w:r w:rsidR="002C7194" w:rsidRPr="004F2685">
              <w:rPr>
                <w:rStyle w:val="Hypertextovodkaz"/>
                <w:bCs/>
                <w:noProof/>
              </w:rPr>
              <w:t>Skluzavky jsou ukotveny na ŽB základech, konstrukce je žárově zinkovaná, skluzy jsou laminátové.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_Toc55326810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04595955" w14:textId="7B2A892E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11" w:history="1">
            <w:r w:rsidR="002C7194" w:rsidRPr="004F2685">
              <w:rPr>
                <w:rStyle w:val="Hypertextovodkaz"/>
                <w:bCs/>
                <w:noProof/>
              </w:rPr>
              <w:t>SO 03 – Zpevněné plochy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_Toc55326811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72C4BB16" w14:textId="5AE53A75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12" w:history="1">
            <w:r w:rsidR="002C7194" w:rsidRPr="004F2685">
              <w:rPr>
                <w:rStyle w:val="Hypertextovodkaz"/>
                <w:bCs/>
                <w:noProof/>
              </w:rPr>
              <w:t>Zpevněné plochy jsou tvořeny násypy štěrkodrtě, finální povrch je pak z betonové dlažby o rozměrech 40 x 40 cm, alternativně o rozměrech 50 x 50 cm.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_Toc55326812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004A3774" w14:textId="56334FF2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13" w:history="1">
            <w:r w:rsidR="002C7194" w:rsidRPr="004F2685">
              <w:rPr>
                <w:rStyle w:val="Hypertextovodkaz"/>
                <w:bCs/>
                <w:noProof/>
              </w:rPr>
              <w:t>SO 04 – Šachty pro bazénovou technologii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_Toc55326813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3A3E0561" w14:textId="091A7E36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14" w:history="1">
            <w:r w:rsidR="002C7194" w:rsidRPr="004F2685">
              <w:rPr>
                <w:rStyle w:val="Hypertextovodkaz"/>
                <w:bCs/>
                <w:noProof/>
              </w:rPr>
              <w:t>Šachta 1 pro bazénovou technologii je prefabrikovaný výrobek, typ Prefa PNO/280/610/238/14, půdorysné rozměry 6380 x 3080 cm, výška 2690, tloušťka stěn 14 cm.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_Toc55326814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78612278" w14:textId="1873D3A7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15" w:history="1">
            <w:r w:rsidR="002C7194" w:rsidRPr="004F2685">
              <w:rPr>
                <w:rStyle w:val="Hypertextovodkaz"/>
                <w:bCs/>
                <w:noProof/>
              </w:rPr>
              <w:t>Šachta2 pro atrakce je prefabrikovaný výrobek, typ Prefa PNO/240/380/238/14, půdorysné rozměry 4080 x 2680, výška 2690, tloušťka stěn 14 cm.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_Toc55326815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417441B7" w14:textId="6F15C594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16" w:history="1">
            <w:r w:rsidR="002C7194" w:rsidRPr="004F2685">
              <w:rPr>
                <w:rStyle w:val="Hypertextovodkaz"/>
                <w:bCs/>
                <w:noProof/>
              </w:rPr>
              <w:t>Šachta 3 čerpací jímka, typový kruhový prefabrikovaný výrobek, bude sloužit ke gravitačnímu odvodnění šachet 1 a 2. V šachtě bude umístěno čerpadlo.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_Toc55326816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2409E784" w14:textId="174B609C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17" w:history="1">
            <w:r w:rsidR="002C7194" w:rsidRPr="004F2685">
              <w:rPr>
                <w:rStyle w:val="Hypertextovodkaz"/>
                <w:bCs/>
                <w:noProof/>
              </w:rPr>
              <w:t>SO 05 - Silnoproud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_Toc55326817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2B038B38" w14:textId="330F2776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18" w:history="1">
            <w:r w:rsidR="002C7194" w:rsidRPr="004F2685">
              <w:rPr>
                <w:rStyle w:val="Hypertextovodkaz"/>
                <w:bCs/>
                <w:noProof/>
              </w:rPr>
              <w:t xml:space="preserve">Napájení – Stávající elektroměrový rozváděč s jističem před elektroměrem 3/B/80A bude vyměněn za nový, s jednosazbovým nepřímím měřením a jističem před elektroměrem 2/B/125A. Bude provedeno </w:t>
            </w:r>
            <w:r w:rsidR="002C7194" w:rsidRPr="004F2685">
              <w:rPr>
                <w:rStyle w:val="Hypertextovodkaz"/>
                <w:bCs/>
                <w:noProof/>
              </w:rPr>
              <w:lastRenderedPageBreak/>
              <w:t>napájecí vedení zemním kabelem z elektroměrového rozváděče do rozváděče R1 umístěného v hlavní budově, v místnosti 1.21. Délka napájecího vedení je cca 60 metrů.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_Toc55326818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4200BC22" w14:textId="4BEB6FB1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19" w:history="1">
            <w:r w:rsidR="002C7194" w:rsidRPr="004F2685">
              <w:rPr>
                <w:rStyle w:val="Hypertextovodkaz"/>
                <w:bCs/>
                <w:noProof/>
              </w:rPr>
              <w:t>Osvětlení – Zůstává stávající, bude doplněno proudovými chrániči s reziduálním proudem 30 mA. Nově bude instalováno osvětlení v šachtě čerpadel.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_Toc55326819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8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313E478F" w14:textId="5E2A769E" w:rsidR="002C7194" w:rsidRPr="004F2685" w:rsidRDefault="00331C6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20" w:history="1">
            <w:r w:rsidR="002C7194" w:rsidRPr="004F2685">
              <w:rPr>
                <w:rStyle w:val="Hypertextovodkaz"/>
                <w:bCs/>
                <w:noProof/>
              </w:rPr>
              <w:t>Zásuvkové obvody – v šachtě čerpadel jsou v provedení 3PĚPE+N, 230 V, 16 A, krytí IP66.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_Toc55326820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9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3D4BFF4F" w14:textId="22EACE13" w:rsidR="002C7194" w:rsidRPr="004F2685" w:rsidRDefault="00331C6E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21" w:history="1">
            <w:r w:rsidR="002C7194" w:rsidRPr="004F2685">
              <w:rPr>
                <w:rStyle w:val="Hypertextovodkaz"/>
                <w:noProof/>
              </w:rPr>
              <w:t>B.2.7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Základní charakteristika technických a technologických zařízení: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_Toc55326821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9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278E42AE" w14:textId="16482B7B" w:rsidR="002C7194" w:rsidRPr="004F2685" w:rsidRDefault="00331C6E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22" w:history="1">
            <w:r w:rsidR="002C7194" w:rsidRPr="004F2685">
              <w:rPr>
                <w:rStyle w:val="Hypertextovodkaz"/>
                <w:noProof/>
              </w:rPr>
              <w:t>B.2.8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Zásady požárně bezpečnostního řešení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_Toc55326822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10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17A0E3E8" w14:textId="422D6737" w:rsidR="002C7194" w:rsidRPr="004F2685" w:rsidRDefault="00331C6E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23" w:history="1">
            <w:r w:rsidR="002C7194" w:rsidRPr="004F2685">
              <w:rPr>
                <w:rStyle w:val="Hypertextovodkaz"/>
                <w:noProof/>
              </w:rPr>
              <w:t>B.2.9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Úspora energie a tepelná ochrana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_Toc55326823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10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1253F4D4" w14:textId="2FB91134" w:rsidR="002C7194" w:rsidRPr="004F2685" w:rsidRDefault="00331C6E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24" w:history="1">
            <w:r w:rsidR="002C7194" w:rsidRPr="004F2685">
              <w:rPr>
                <w:rStyle w:val="Hypertextovodkaz"/>
                <w:noProof/>
              </w:rPr>
              <w:t>B.2.10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Hygienické požadavky na stavby, požadavky na pracovní a komunální prostředí; zásady řešení parametrů stavby – větrání, vytápění, osvětlení, zásobování vodou, odpadů apod., dále zásady řešení vlivu stavby na okolí – vibrace, hluk, prašnost apod.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_Toc55326824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10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39E42FAC" w14:textId="78556BD4" w:rsidR="002C7194" w:rsidRPr="004F2685" w:rsidRDefault="00331C6E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25" w:history="1">
            <w:r w:rsidR="002C7194" w:rsidRPr="004F2685">
              <w:rPr>
                <w:rStyle w:val="Hypertextovodkaz"/>
                <w:noProof/>
              </w:rPr>
              <w:t>B.2.11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Zásady ochrany stavby před negativními účinky vnějšího prostředí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_Toc55326825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11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0205BE58" w14:textId="4EF8DC5C" w:rsidR="002C7194" w:rsidRPr="004F2685" w:rsidRDefault="00331C6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26" w:history="1">
            <w:r w:rsidR="002C7194" w:rsidRPr="004F2685">
              <w:rPr>
                <w:rStyle w:val="Hypertextovodkaz"/>
                <w:noProof/>
              </w:rPr>
              <w:t>B.3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Připojení na technickou infrastrukturu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_Toc55326826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11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3163D5D1" w14:textId="7FFEDC99" w:rsidR="002C7194" w:rsidRPr="004F2685" w:rsidRDefault="00331C6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27" w:history="1">
            <w:r w:rsidR="002C7194" w:rsidRPr="004F2685">
              <w:rPr>
                <w:rStyle w:val="Hypertextovodkaz"/>
                <w:noProof/>
              </w:rPr>
              <w:t>B.4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Dopravní řešení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_Toc55326827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12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5E0E6DF8" w14:textId="44926D56" w:rsidR="002C7194" w:rsidRPr="004F2685" w:rsidRDefault="00331C6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28" w:history="1">
            <w:r w:rsidR="002C7194" w:rsidRPr="004F2685">
              <w:rPr>
                <w:rStyle w:val="Hypertextovodkaz"/>
                <w:noProof/>
              </w:rPr>
              <w:t>B.5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Řešení vegetace a souvisejících terénních úprav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_Toc55326828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12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6A9DB907" w14:textId="30BAFE07" w:rsidR="002C7194" w:rsidRPr="004F2685" w:rsidRDefault="00331C6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29" w:history="1">
            <w:r w:rsidR="002C7194" w:rsidRPr="004F2685">
              <w:rPr>
                <w:rStyle w:val="Hypertextovodkaz"/>
                <w:noProof/>
              </w:rPr>
              <w:t>B.6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Popis vlivů stavby na životní prostředí a jeho ochrana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_Toc55326829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12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3FD03E00" w14:textId="731DF31D" w:rsidR="002C7194" w:rsidRPr="004F2685" w:rsidRDefault="00331C6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30" w:history="1">
            <w:r w:rsidR="002C7194" w:rsidRPr="004F2685">
              <w:rPr>
                <w:rStyle w:val="Hypertextovodkaz"/>
                <w:noProof/>
              </w:rPr>
              <w:t>B.7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Ochrana obyvatelstva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_Toc55326830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13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32E75487" w14:textId="3F7984C8" w:rsidR="002C7194" w:rsidRPr="004F2685" w:rsidRDefault="00331C6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31" w:history="1">
            <w:r w:rsidR="002C7194" w:rsidRPr="004F2685">
              <w:rPr>
                <w:rStyle w:val="Hypertextovodkaz"/>
                <w:noProof/>
              </w:rPr>
              <w:t>B.8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Zásady organizace výstavby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_Toc55326831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13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6FA2804E" w14:textId="2EA7E61E" w:rsidR="002C7194" w:rsidRPr="004F2685" w:rsidRDefault="00331C6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5326832" w:history="1">
            <w:r w:rsidR="002C7194" w:rsidRPr="004F2685">
              <w:rPr>
                <w:rStyle w:val="Hypertextovodkaz"/>
                <w:noProof/>
              </w:rPr>
              <w:t>B.9</w:t>
            </w:r>
            <w:r w:rsidR="002C7194" w:rsidRPr="004F2685">
              <w:rPr>
                <w:rFonts w:eastAsiaTheme="minorEastAsia"/>
                <w:noProof/>
                <w:lang w:eastAsia="cs-CZ"/>
              </w:rPr>
              <w:tab/>
            </w:r>
            <w:r w:rsidR="002C7194" w:rsidRPr="004F2685">
              <w:rPr>
                <w:rStyle w:val="Hypertextovodkaz"/>
                <w:noProof/>
              </w:rPr>
              <w:t>Celkové vodohospodářské řešení</w:t>
            </w:r>
            <w:r w:rsidR="002C7194" w:rsidRPr="004F2685">
              <w:rPr>
                <w:noProof/>
                <w:webHidden/>
              </w:rPr>
              <w:tab/>
            </w:r>
            <w:r w:rsidR="002C7194" w:rsidRPr="004F2685">
              <w:rPr>
                <w:noProof/>
                <w:webHidden/>
              </w:rPr>
              <w:fldChar w:fldCharType="begin"/>
            </w:r>
            <w:r w:rsidR="002C7194" w:rsidRPr="004F2685">
              <w:rPr>
                <w:noProof/>
                <w:webHidden/>
              </w:rPr>
              <w:instrText xml:space="preserve"> PAGEREF _Toc55326832 \h </w:instrText>
            </w:r>
            <w:r w:rsidR="002C7194" w:rsidRPr="004F2685">
              <w:rPr>
                <w:noProof/>
                <w:webHidden/>
              </w:rPr>
            </w:r>
            <w:r w:rsidR="002C7194" w:rsidRPr="004F2685">
              <w:rPr>
                <w:noProof/>
                <w:webHidden/>
              </w:rPr>
              <w:fldChar w:fldCharType="separate"/>
            </w:r>
            <w:r w:rsidR="00ED2EF8">
              <w:rPr>
                <w:noProof/>
                <w:webHidden/>
              </w:rPr>
              <w:t>17</w:t>
            </w:r>
            <w:r w:rsidR="002C7194" w:rsidRPr="004F2685">
              <w:rPr>
                <w:noProof/>
                <w:webHidden/>
              </w:rPr>
              <w:fldChar w:fldCharType="end"/>
            </w:r>
          </w:hyperlink>
        </w:p>
        <w:p w14:paraId="412C2D41" w14:textId="48211231" w:rsidR="007E757C" w:rsidRPr="004F2685" w:rsidRDefault="00282659">
          <w:r w:rsidRPr="004F2685">
            <w:rPr>
              <w:rFonts w:ascii="Times New Roman" w:hAnsi="Times New Roman" w:cs="Times New Roman"/>
            </w:rPr>
            <w:fldChar w:fldCharType="end"/>
          </w:r>
        </w:p>
      </w:sdtContent>
    </w:sdt>
    <w:p w14:paraId="56D0EA75" w14:textId="77777777" w:rsidR="007E757C" w:rsidRPr="004F2685" w:rsidRDefault="007E757C">
      <w:r w:rsidRPr="004F2685">
        <w:br w:type="page"/>
      </w:r>
    </w:p>
    <w:p w14:paraId="27BF6E29" w14:textId="77777777" w:rsidR="007E757C" w:rsidRPr="004F2685" w:rsidRDefault="002A67FB" w:rsidP="002A67FB">
      <w:pPr>
        <w:pStyle w:val="KMnadpis1"/>
      </w:pPr>
      <w:bookmarkStart w:id="4" w:name="_Toc55326790"/>
      <w:r w:rsidRPr="004F2685">
        <w:lastRenderedPageBreak/>
        <w:t>Popis území stavby</w:t>
      </w:r>
      <w:bookmarkEnd w:id="4"/>
    </w:p>
    <w:p w14:paraId="75F1E4B2" w14:textId="77777777" w:rsidR="00444531" w:rsidRPr="004F2685" w:rsidRDefault="002A67FB" w:rsidP="00282659">
      <w:pPr>
        <w:pStyle w:val="KMnadpis3"/>
      </w:pPr>
      <w:r w:rsidRPr="004F2685">
        <w:rPr>
          <w:sz w:val="23"/>
          <w:szCs w:val="23"/>
        </w:rPr>
        <w:t>Charakteristika území a stavebního pozemku</w:t>
      </w:r>
      <w:r w:rsidR="00896A37" w:rsidRPr="004F2685">
        <w:rPr>
          <w:sz w:val="23"/>
          <w:szCs w:val="23"/>
        </w:rPr>
        <w:t>, zastavěné území a nezastavěné území, soulad navrhované stavby s charakterem území, dosavadní využití a zastavěnost území</w:t>
      </w:r>
      <w:r w:rsidR="00444531" w:rsidRPr="004F2685">
        <w:rPr>
          <w:rStyle w:val="KMnadpis3Char"/>
          <w:b/>
        </w:rPr>
        <w:t>:</w:t>
      </w:r>
      <w:r w:rsidR="00444531" w:rsidRPr="004F2685">
        <w:t xml:space="preserve"> </w:t>
      </w:r>
    </w:p>
    <w:p w14:paraId="5BDF7DA5" w14:textId="36A99B3C" w:rsidR="00896A37" w:rsidRPr="004F2685" w:rsidRDefault="008D2736" w:rsidP="008D2736">
      <w:pPr>
        <w:pStyle w:val="KMnormal"/>
        <w:jc w:val="both"/>
      </w:pPr>
      <w:r w:rsidRPr="004F2685">
        <w:t xml:space="preserve">Staveniště pro předmětnou stavbu je parcela č. p. 429/13, druh pozemku ostatní plocha, způsob využití sportoviště a rekreační plocha, výměra 4 022 m2 v k. </w:t>
      </w:r>
      <w:proofErr w:type="spellStart"/>
      <w:r w:rsidRPr="004F2685">
        <w:t>ú.</w:t>
      </w:r>
      <w:proofErr w:type="spellEnd"/>
      <w:r w:rsidRPr="004F2685">
        <w:t xml:space="preserve"> Otrokovice a p. č. 429/10, druh pozemku ostatní plocha, způsob využití zeleň, výměra 11 99</w:t>
      </w:r>
      <w:r w:rsidR="00414332" w:rsidRPr="004F2685">
        <w:t>0</w:t>
      </w:r>
      <w:r w:rsidRPr="004F2685">
        <w:t xml:space="preserve"> m2 v k. </w:t>
      </w:r>
      <w:proofErr w:type="spellStart"/>
      <w:r w:rsidRPr="004F2685">
        <w:t>ú.</w:t>
      </w:r>
      <w:proofErr w:type="spellEnd"/>
      <w:r w:rsidRPr="004F2685">
        <w:t xml:space="preserve"> Otrokovice</w:t>
      </w:r>
      <w:r w:rsidR="00414332" w:rsidRPr="004F2685">
        <w:t>.</w:t>
      </w:r>
      <w:r w:rsidRPr="004F2685">
        <w:t xml:space="preserve"> </w:t>
      </w:r>
      <w:r w:rsidR="00E85CCF" w:rsidRPr="004F2685">
        <w:t>J</w:t>
      </w:r>
      <w:r w:rsidR="0016702D" w:rsidRPr="004F2685">
        <w:t xml:space="preserve">edná se o objekt občanské </w:t>
      </w:r>
      <w:proofErr w:type="gramStart"/>
      <w:r w:rsidR="0016702D" w:rsidRPr="004F2685">
        <w:t>vybavenosti</w:t>
      </w:r>
      <w:r w:rsidR="00E85CCF" w:rsidRPr="004F2685">
        <w:t xml:space="preserve"> - </w:t>
      </w:r>
      <w:r w:rsidR="0016702D" w:rsidRPr="004F2685">
        <w:t>stavbu</w:t>
      </w:r>
      <w:proofErr w:type="gramEnd"/>
      <w:r w:rsidR="0016702D" w:rsidRPr="004F2685">
        <w:t xml:space="preserve"> dětského brouzdaliště</w:t>
      </w:r>
      <w:r w:rsidR="00E85CCF" w:rsidRPr="004F2685">
        <w:t>, na místě odstraněného brouzdaliště, doplněného o vodní skluzavky do prostoru velkého bazénu</w:t>
      </w:r>
      <w:r w:rsidR="00503E82" w:rsidRPr="004F2685">
        <w:t>,</w:t>
      </w:r>
      <w:r w:rsidR="00E85CCF" w:rsidRPr="004F2685">
        <w:t xml:space="preserve"> novou úpravnu bazénové vody</w:t>
      </w:r>
      <w:r w:rsidR="00503E82" w:rsidRPr="004F2685">
        <w:t xml:space="preserve"> a strojov</w:t>
      </w:r>
      <w:r w:rsidR="00855913" w:rsidRPr="004F2685">
        <w:t>nu pro vodní atrakce</w:t>
      </w:r>
      <w:r w:rsidR="0016702D" w:rsidRPr="004F2685">
        <w:t xml:space="preserve">. Objekt leží na okraji zastavěného území. </w:t>
      </w:r>
    </w:p>
    <w:p w14:paraId="27E3FBE2" w14:textId="77777777" w:rsidR="006F7C00" w:rsidRPr="004F2685" w:rsidRDefault="006F7C00" w:rsidP="006F7C00">
      <w:pPr>
        <w:pStyle w:val="KMnadpis3"/>
      </w:pPr>
      <w:r w:rsidRPr="004F2685">
        <w:t>Údaje o souladu stavby s územně plánovací dokumentací, s cíli a úkoly územního plánování, včetně informace o vydané územně plánovací dokumentaci:</w:t>
      </w:r>
    </w:p>
    <w:p w14:paraId="7042D7E1" w14:textId="7A28F0F5" w:rsidR="001C2B3A" w:rsidRPr="004F2685" w:rsidRDefault="001A2B55" w:rsidP="001C2B3A">
      <w:pPr>
        <w:pStyle w:val="KMnormal"/>
      </w:pPr>
      <w:r w:rsidRPr="004F2685">
        <w:t>Stavba</w:t>
      </w:r>
      <w:r w:rsidR="0016702D" w:rsidRPr="004F2685">
        <w:t xml:space="preserve"> objektu </w:t>
      </w:r>
      <w:r w:rsidR="00B3088B" w:rsidRPr="004F2685">
        <w:t xml:space="preserve">brouzdaliště </w:t>
      </w:r>
      <w:r w:rsidR="0016702D" w:rsidRPr="004F2685">
        <w:t>je v souladu s územně plánovací dokumentací.</w:t>
      </w:r>
    </w:p>
    <w:p w14:paraId="4F60B737" w14:textId="77777777" w:rsidR="00E41F7A" w:rsidRPr="004F2685" w:rsidRDefault="00E41F7A" w:rsidP="006F7C00">
      <w:pPr>
        <w:pStyle w:val="KMnadpis3"/>
      </w:pPr>
      <w:r w:rsidRPr="004F2685">
        <w:t>Informace o vydaných rozhodnutích o povolení výjimky z obecných požadavků na využívání území:</w:t>
      </w:r>
    </w:p>
    <w:p w14:paraId="4C61A926" w14:textId="40442B36" w:rsidR="001C2B3A" w:rsidRPr="004F2685" w:rsidRDefault="0016702D" w:rsidP="001C2B3A">
      <w:pPr>
        <w:pStyle w:val="KMnormal"/>
      </w:pPr>
      <w:r w:rsidRPr="004F2685">
        <w:t>Povolení výjimky z obecných požadavků na využívání území není uplatňováno.</w:t>
      </w:r>
    </w:p>
    <w:p w14:paraId="59A2ED6C" w14:textId="77777777" w:rsidR="00E41F7A" w:rsidRPr="004F2685" w:rsidRDefault="00E41F7A" w:rsidP="006F7C00">
      <w:pPr>
        <w:pStyle w:val="KMnadpis3"/>
      </w:pPr>
      <w:r w:rsidRPr="004F2685">
        <w:t>Informace o tom, zda a v jakých částech dokumentace jsou zohledněny podmínky závazných stanovisek dotčených orgánů:</w:t>
      </w:r>
    </w:p>
    <w:p w14:paraId="5A7B212C" w14:textId="5AC2E3D5" w:rsidR="001C2B3A" w:rsidRPr="004F2685" w:rsidRDefault="0016702D" w:rsidP="001C2B3A">
      <w:pPr>
        <w:pStyle w:val="KMnormal"/>
      </w:pPr>
      <w:r w:rsidRPr="004F2685">
        <w:t>Podmínky závazných stanovisek dotčených orgánů budou zapracovány do dokumentace po jejich obdržení.</w:t>
      </w:r>
    </w:p>
    <w:p w14:paraId="40B48620" w14:textId="77777777" w:rsidR="00E41F7A" w:rsidRPr="004F2685" w:rsidRDefault="00E41F7A" w:rsidP="006F7C00">
      <w:pPr>
        <w:pStyle w:val="KMnadpis3"/>
      </w:pPr>
      <w:r w:rsidRPr="004F2685">
        <w:t>Výčet a závěry provedených průzkumů a rozborů – geologický průzkum, hydrogeologický průzkum, stavebně historický průzkum apod.:</w:t>
      </w:r>
    </w:p>
    <w:p w14:paraId="688A5E1A" w14:textId="03CC2AFB" w:rsidR="001C2B3A" w:rsidRPr="004F2685" w:rsidRDefault="008A61C2" w:rsidP="001C2B3A">
      <w:pPr>
        <w:pStyle w:val="KMnormal"/>
      </w:pPr>
      <w:r w:rsidRPr="004F2685">
        <w:t>S</w:t>
      </w:r>
      <w:r w:rsidR="008D2736" w:rsidRPr="004F2685">
        <w:t> ohledem na charakter stavby nebyl požadován geologický průzkum, ani hydrogeologický průzkum a stavebně historický průzkum.</w:t>
      </w:r>
      <w:r w:rsidR="00502015" w:rsidRPr="004F2685">
        <w:t xml:space="preserve"> </w:t>
      </w:r>
    </w:p>
    <w:p w14:paraId="1F48FB8A" w14:textId="77777777" w:rsidR="00E41F7A" w:rsidRPr="004F2685" w:rsidRDefault="007D1C0C" w:rsidP="006F7C00">
      <w:pPr>
        <w:pStyle w:val="KMnadpis3"/>
      </w:pPr>
      <w:r w:rsidRPr="004F2685">
        <w:t>Ochrana území podle jiných právních předpisů:</w:t>
      </w:r>
    </w:p>
    <w:p w14:paraId="4DE6ACC8" w14:textId="1539DB3C" w:rsidR="001C2B3A" w:rsidRPr="004F2685" w:rsidRDefault="001A2B55" w:rsidP="001C2B3A">
      <w:pPr>
        <w:pStyle w:val="KMnormal"/>
      </w:pPr>
      <w:r w:rsidRPr="004F2685">
        <w:t>Stavba</w:t>
      </w:r>
      <w:r w:rsidR="0016702D" w:rsidRPr="004F2685">
        <w:t xml:space="preserve"> objektu </w:t>
      </w:r>
      <w:r w:rsidR="00B3088B" w:rsidRPr="004F2685">
        <w:t>brouzdaliště nespadá pod ochranu jiných právních předpisů.</w:t>
      </w:r>
    </w:p>
    <w:p w14:paraId="257F51B8" w14:textId="77777777" w:rsidR="007D1C0C" w:rsidRPr="004F2685" w:rsidRDefault="007D1C0C" w:rsidP="006F7C00">
      <w:pPr>
        <w:pStyle w:val="KMnadpis3"/>
      </w:pPr>
      <w:r w:rsidRPr="004F2685">
        <w:t>Poloha vzhledem k záplavovému území, poddolovanému území apod.:</w:t>
      </w:r>
    </w:p>
    <w:p w14:paraId="206ECA40" w14:textId="1F9A889E" w:rsidR="001C2B3A" w:rsidRPr="004F2685" w:rsidRDefault="00B3088B" w:rsidP="001C2B3A">
      <w:pPr>
        <w:pStyle w:val="KMnormal"/>
      </w:pPr>
      <w:r w:rsidRPr="004F2685">
        <w:t>Stavba neleží v záplavovém ani poddolovaném území.</w:t>
      </w:r>
    </w:p>
    <w:p w14:paraId="5551BAE3" w14:textId="77777777" w:rsidR="007D1C0C" w:rsidRPr="004F2685" w:rsidRDefault="007D1C0C" w:rsidP="006F7C00">
      <w:pPr>
        <w:pStyle w:val="KMnadpis3"/>
      </w:pPr>
      <w:r w:rsidRPr="004F2685">
        <w:t>Vliv stavby na okolní stavby a pozemky, ochrana okolí, vliv stavby na odtokové poměry v území:</w:t>
      </w:r>
    </w:p>
    <w:p w14:paraId="3B7B74CD" w14:textId="48EF593A" w:rsidR="001C2B3A" w:rsidRPr="004F2685" w:rsidRDefault="001A2B55" w:rsidP="00F47553">
      <w:pPr>
        <w:pStyle w:val="KMnormal"/>
        <w:jc w:val="both"/>
      </w:pPr>
      <w:r w:rsidRPr="004F2685">
        <w:t>Stavba</w:t>
      </w:r>
      <w:r w:rsidR="00B3088B" w:rsidRPr="004F2685">
        <w:t xml:space="preserve"> objektu brouzdaliště nemá vliv na okolní stavby a pozemky, nepředpokládá se negativní vliv na zdraví osob a životního prostředí. Vlivem stavby nebudou zhoršeny odtokové poměry v okolí.</w:t>
      </w:r>
    </w:p>
    <w:p w14:paraId="0A3CAA40" w14:textId="77777777" w:rsidR="007D1C0C" w:rsidRPr="004F2685" w:rsidRDefault="007D1C0C" w:rsidP="006F7C00">
      <w:pPr>
        <w:pStyle w:val="KMnadpis3"/>
      </w:pPr>
      <w:r w:rsidRPr="004F2685">
        <w:lastRenderedPageBreak/>
        <w:t>Požadavky na asanace, demolice, kácení dřevin:</w:t>
      </w:r>
    </w:p>
    <w:p w14:paraId="545C218E" w14:textId="008953F9" w:rsidR="001C2B3A" w:rsidRPr="004F2685" w:rsidRDefault="001A2B55" w:rsidP="001C2B3A">
      <w:pPr>
        <w:pStyle w:val="KMnormal"/>
      </w:pPr>
      <w:r w:rsidRPr="004F2685">
        <w:t>Stavbou</w:t>
      </w:r>
      <w:r w:rsidR="00B3088B" w:rsidRPr="004F2685">
        <w:t xml:space="preserve"> objektu brouzdaliště nevznikají požadavky na kácení dřevin, demolice stávajícího brouzdaliště je řešena samostatnou dokumentací pro odstranění stavby.</w:t>
      </w:r>
    </w:p>
    <w:p w14:paraId="6D802949" w14:textId="77777777" w:rsidR="007D1C0C" w:rsidRPr="004F2685" w:rsidRDefault="00FB2743" w:rsidP="006F7C00">
      <w:pPr>
        <w:pStyle w:val="KMnadpis3"/>
      </w:pPr>
      <w:r w:rsidRPr="004F2685">
        <w:t xml:space="preserve">Požadavky na maximální dočasné a trvalé </w:t>
      </w:r>
      <w:r w:rsidR="0065708B" w:rsidRPr="004F2685">
        <w:t>zábory zemědělského půdního fondu nebo pozemků určených k plnění funkce lesa:</w:t>
      </w:r>
    </w:p>
    <w:p w14:paraId="68BCDA84" w14:textId="710C0D1E" w:rsidR="001C2B3A" w:rsidRPr="004F2685" w:rsidRDefault="00B3088B" w:rsidP="001C2B3A">
      <w:pPr>
        <w:pStyle w:val="KMnormal"/>
      </w:pPr>
      <w:r w:rsidRPr="004F2685">
        <w:t>Netýká se.</w:t>
      </w:r>
    </w:p>
    <w:p w14:paraId="3017E3AE" w14:textId="77777777" w:rsidR="0065708B" w:rsidRPr="004F2685" w:rsidRDefault="0065708B" w:rsidP="006F7C00">
      <w:pPr>
        <w:pStyle w:val="KMnadpis3"/>
      </w:pPr>
      <w:r w:rsidRPr="004F2685">
        <w:t>Územně technické podmínky – zejména možnost napojení na stávající dopravní a technickou infrastrukturu, možnost bezbariérového přístupu k navrhované stavbě:</w:t>
      </w:r>
    </w:p>
    <w:p w14:paraId="1F864901" w14:textId="4B1BCD64" w:rsidR="001C2B3A" w:rsidRPr="004F2685" w:rsidRDefault="008D2736" w:rsidP="001C2B3A">
      <w:pPr>
        <w:pStyle w:val="KMnormal"/>
      </w:pPr>
      <w:r w:rsidRPr="004F2685">
        <w:t>Stavba bude napojena na stávající dopravní a technickou infrastrukturu, přístup je řešen bezbariérový.</w:t>
      </w:r>
    </w:p>
    <w:p w14:paraId="7DAB6714" w14:textId="77777777" w:rsidR="0065708B" w:rsidRPr="004F2685" w:rsidRDefault="0065708B" w:rsidP="006F7C00">
      <w:pPr>
        <w:pStyle w:val="KMnadpis3"/>
      </w:pPr>
      <w:r w:rsidRPr="004F2685">
        <w:t>Věcné a časové vazby stavby, podmiňující, vyvolané, související investice:</w:t>
      </w:r>
    </w:p>
    <w:p w14:paraId="339E618D" w14:textId="46AE7055" w:rsidR="001C2B3A" w:rsidRPr="004F2685" w:rsidRDefault="00B3088B" w:rsidP="001C2B3A">
      <w:pPr>
        <w:pStyle w:val="KMnormal"/>
      </w:pPr>
      <w:r w:rsidRPr="004F2685">
        <w:t xml:space="preserve">Před zahájením výstavby </w:t>
      </w:r>
      <w:r w:rsidR="008D2736" w:rsidRPr="004F2685">
        <w:t xml:space="preserve">nového </w:t>
      </w:r>
      <w:r w:rsidRPr="004F2685">
        <w:t>brouzdaliště musí být odstraněno stávající nevyhovující brouzdaliště.</w:t>
      </w:r>
    </w:p>
    <w:p w14:paraId="5E113EA7" w14:textId="3304F45C" w:rsidR="0065708B" w:rsidRPr="004F2685" w:rsidRDefault="0065708B" w:rsidP="006F7C00">
      <w:pPr>
        <w:pStyle w:val="KMnadpis3"/>
      </w:pPr>
      <w:r w:rsidRPr="004F2685">
        <w:t>Seznam pozemků podle katastru nemovitostí, na kterých se stavba umisťuje a provádí:</w:t>
      </w:r>
    </w:p>
    <w:p w14:paraId="601F2A1D" w14:textId="77777777" w:rsidR="00B3088B" w:rsidRPr="004F2685" w:rsidRDefault="00B3088B" w:rsidP="003F7916">
      <w:pPr>
        <w:pStyle w:val="KMnadpis3"/>
        <w:numPr>
          <w:ilvl w:val="0"/>
          <w:numId w:val="0"/>
        </w:numPr>
        <w:ind w:left="720"/>
      </w:pPr>
    </w:p>
    <w:tbl>
      <w:tblPr>
        <w:tblStyle w:val="Mkatabulky"/>
        <w:tblW w:w="7820" w:type="dxa"/>
        <w:tblInd w:w="1242" w:type="dxa"/>
        <w:tblLook w:val="04A0" w:firstRow="1" w:lastRow="0" w:firstColumn="1" w:lastColumn="0" w:noHBand="0" w:noVBand="1"/>
      </w:tblPr>
      <w:tblGrid>
        <w:gridCol w:w="1701"/>
        <w:gridCol w:w="2292"/>
        <w:gridCol w:w="1232"/>
        <w:gridCol w:w="2595"/>
      </w:tblGrid>
      <w:tr w:rsidR="00B3088B" w:rsidRPr="004F2685" w14:paraId="69FAB114" w14:textId="77777777" w:rsidTr="001A2B55">
        <w:tc>
          <w:tcPr>
            <w:tcW w:w="7820" w:type="dxa"/>
            <w:gridSpan w:val="4"/>
          </w:tcPr>
          <w:p w14:paraId="5EADA8BA" w14:textId="77777777" w:rsidR="00B3088B" w:rsidRPr="004F2685" w:rsidRDefault="00B3088B" w:rsidP="005F1233">
            <w:pPr>
              <w:pStyle w:val="KMnormal"/>
              <w:ind w:left="0"/>
              <w:jc w:val="center"/>
              <w:rPr>
                <w:b/>
                <w:bCs/>
              </w:rPr>
            </w:pPr>
            <w:r w:rsidRPr="004F2685">
              <w:rPr>
                <w:b/>
                <w:bCs/>
              </w:rPr>
              <w:t>SEZNAM POZEMKŮ DOTČENÝCH PŘI ODSTRAŇOVÝNÍ STAVBY DLE KN</w:t>
            </w:r>
          </w:p>
          <w:p w14:paraId="472ED052" w14:textId="77777777" w:rsidR="00B3088B" w:rsidRPr="004F2685" w:rsidRDefault="00B3088B" w:rsidP="005F1233">
            <w:pPr>
              <w:pStyle w:val="KMnormal"/>
              <w:ind w:left="0"/>
              <w:jc w:val="center"/>
              <w:rPr>
                <w:b/>
                <w:bCs/>
                <w:sz w:val="2"/>
                <w:szCs w:val="2"/>
              </w:rPr>
            </w:pPr>
          </w:p>
        </w:tc>
      </w:tr>
      <w:tr w:rsidR="00B3088B" w:rsidRPr="004F2685" w14:paraId="71379A4F" w14:textId="77777777" w:rsidTr="001A2B55">
        <w:tc>
          <w:tcPr>
            <w:tcW w:w="1701" w:type="dxa"/>
          </w:tcPr>
          <w:p w14:paraId="51683D8E" w14:textId="77777777" w:rsidR="00B3088B" w:rsidRPr="004F2685" w:rsidRDefault="00B3088B" w:rsidP="005F1233">
            <w:pPr>
              <w:pStyle w:val="KMnormal"/>
              <w:ind w:left="-81"/>
              <w:jc w:val="center"/>
              <w:rPr>
                <w:b/>
                <w:bCs/>
              </w:rPr>
            </w:pPr>
            <w:r w:rsidRPr="004F2685">
              <w:rPr>
                <w:b/>
                <w:bCs/>
              </w:rPr>
              <w:t>Parcelní číslo</w:t>
            </w:r>
          </w:p>
        </w:tc>
        <w:tc>
          <w:tcPr>
            <w:tcW w:w="2292" w:type="dxa"/>
          </w:tcPr>
          <w:p w14:paraId="270E6301" w14:textId="77777777" w:rsidR="00B3088B" w:rsidRPr="004F2685" w:rsidRDefault="00B3088B" w:rsidP="005F1233">
            <w:pPr>
              <w:pStyle w:val="KMnormal"/>
              <w:ind w:left="0"/>
              <w:jc w:val="center"/>
              <w:rPr>
                <w:b/>
                <w:bCs/>
              </w:rPr>
            </w:pPr>
            <w:r w:rsidRPr="004F2685">
              <w:rPr>
                <w:b/>
                <w:bCs/>
              </w:rPr>
              <w:t>Vlastník</w:t>
            </w:r>
          </w:p>
        </w:tc>
        <w:tc>
          <w:tcPr>
            <w:tcW w:w="1232" w:type="dxa"/>
          </w:tcPr>
          <w:p w14:paraId="6DF8DED9" w14:textId="77777777" w:rsidR="00B3088B" w:rsidRPr="004F2685" w:rsidRDefault="00B3088B" w:rsidP="005F1233">
            <w:pPr>
              <w:pStyle w:val="KMnormal"/>
              <w:ind w:left="0"/>
              <w:jc w:val="center"/>
              <w:rPr>
                <w:b/>
                <w:bCs/>
              </w:rPr>
            </w:pPr>
            <w:r w:rsidRPr="004F2685">
              <w:rPr>
                <w:b/>
                <w:bCs/>
              </w:rPr>
              <w:t>Výměra [m</w:t>
            </w:r>
            <w:r w:rsidRPr="004F2685">
              <w:rPr>
                <w:rFonts w:ascii="Calibri" w:hAnsi="Calibri" w:cs="Calibri"/>
                <w:b/>
                <w:bCs/>
              </w:rPr>
              <w:t>²</w:t>
            </w:r>
            <w:r w:rsidRPr="004F2685">
              <w:rPr>
                <w:b/>
                <w:bCs/>
              </w:rPr>
              <w:t>]</w:t>
            </w:r>
          </w:p>
        </w:tc>
        <w:tc>
          <w:tcPr>
            <w:tcW w:w="2595" w:type="dxa"/>
          </w:tcPr>
          <w:p w14:paraId="7F8A2197" w14:textId="77777777" w:rsidR="00B3088B" w:rsidRPr="004F2685" w:rsidRDefault="00B3088B" w:rsidP="005F1233">
            <w:pPr>
              <w:pStyle w:val="KMnormal"/>
              <w:ind w:left="0"/>
              <w:jc w:val="center"/>
              <w:rPr>
                <w:b/>
                <w:bCs/>
              </w:rPr>
            </w:pPr>
            <w:r w:rsidRPr="004F2685">
              <w:rPr>
                <w:b/>
                <w:bCs/>
              </w:rPr>
              <w:t>Druh pozemku</w:t>
            </w:r>
          </w:p>
        </w:tc>
      </w:tr>
      <w:tr w:rsidR="00B3088B" w:rsidRPr="004F2685" w14:paraId="175BACE8" w14:textId="77777777" w:rsidTr="001A2B55">
        <w:trPr>
          <w:trHeight w:val="1055"/>
        </w:trPr>
        <w:tc>
          <w:tcPr>
            <w:tcW w:w="1701" w:type="dxa"/>
            <w:vAlign w:val="center"/>
          </w:tcPr>
          <w:p w14:paraId="7D27BDA9" w14:textId="77777777" w:rsidR="00B3088B" w:rsidRPr="004F2685" w:rsidRDefault="00B3088B" w:rsidP="005F1233">
            <w:pPr>
              <w:pStyle w:val="KMnormal"/>
              <w:ind w:left="-81"/>
              <w:jc w:val="center"/>
            </w:pPr>
            <w:r w:rsidRPr="004F2685">
              <w:t>429/13</w:t>
            </w:r>
          </w:p>
        </w:tc>
        <w:tc>
          <w:tcPr>
            <w:tcW w:w="2292" w:type="dxa"/>
            <w:vAlign w:val="center"/>
          </w:tcPr>
          <w:p w14:paraId="78A3EB0F" w14:textId="77777777" w:rsidR="00B3088B" w:rsidRPr="004F2685" w:rsidRDefault="00B3088B" w:rsidP="005F1233">
            <w:pPr>
              <w:pStyle w:val="KMnormal"/>
              <w:ind w:left="0"/>
              <w:jc w:val="center"/>
              <w:rPr>
                <w:rFonts w:cs="Times New Roman"/>
                <w:szCs w:val="24"/>
              </w:rPr>
            </w:pPr>
            <w:r w:rsidRPr="004F2685">
              <w:rPr>
                <w:rFonts w:cs="Times New Roman"/>
                <w:szCs w:val="24"/>
                <w:shd w:val="clear" w:color="auto" w:fill="FAF9F8"/>
              </w:rPr>
              <w:t>město Otrokovice, nám. 3. května 1340, 76502 Otrokovic</w:t>
            </w:r>
          </w:p>
        </w:tc>
        <w:tc>
          <w:tcPr>
            <w:tcW w:w="1232" w:type="dxa"/>
            <w:vAlign w:val="center"/>
          </w:tcPr>
          <w:p w14:paraId="437DA997" w14:textId="77777777" w:rsidR="00B3088B" w:rsidRPr="004F2685" w:rsidRDefault="00B3088B" w:rsidP="005F1233">
            <w:pPr>
              <w:pStyle w:val="KMnormal"/>
              <w:ind w:left="0"/>
              <w:jc w:val="center"/>
            </w:pPr>
            <w:r w:rsidRPr="004F2685">
              <w:t>4022</w:t>
            </w:r>
          </w:p>
        </w:tc>
        <w:tc>
          <w:tcPr>
            <w:tcW w:w="2595" w:type="dxa"/>
            <w:vAlign w:val="center"/>
          </w:tcPr>
          <w:p w14:paraId="46DFEB88" w14:textId="01A1815E" w:rsidR="00B3088B" w:rsidRPr="004F2685" w:rsidRDefault="008D2736" w:rsidP="005F1233">
            <w:pPr>
              <w:pStyle w:val="KMnormal"/>
              <w:ind w:left="0"/>
            </w:pPr>
            <w:r w:rsidRPr="004F2685">
              <w:t>Ostatní plocha</w:t>
            </w:r>
          </w:p>
        </w:tc>
      </w:tr>
      <w:tr w:rsidR="001A2B55" w:rsidRPr="004F2685" w14:paraId="2AFB141E" w14:textId="77777777" w:rsidTr="001A2B55">
        <w:trPr>
          <w:trHeight w:val="1055"/>
        </w:trPr>
        <w:tc>
          <w:tcPr>
            <w:tcW w:w="1701" w:type="dxa"/>
          </w:tcPr>
          <w:p w14:paraId="0D12EDC0" w14:textId="09FA2C87" w:rsidR="001A2B55" w:rsidRPr="004F2685" w:rsidRDefault="001A2B55" w:rsidP="005F1233">
            <w:pPr>
              <w:pStyle w:val="KMnormal"/>
              <w:ind w:left="-81"/>
              <w:jc w:val="center"/>
            </w:pPr>
            <w:r w:rsidRPr="004F2685">
              <w:t>429/10</w:t>
            </w:r>
          </w:p>
        </w:tc>
        <w:tc>
          <w:tcPr>
            <w:tcW w:w="2292" w:type="dxa"/>
          </w:tcPr>
          <w:p w14:paraId="2A37972C" w14:textId="77777777" w:rsidR="001A2B55" w:rsidRPr="004F2685" w:rsidRDefault="001A2B55" w:rsidP="005F1233">
            <w:pPr>
              <w:pStyle w:val="KMnormal"/>
              <w:ind w:left="0"/>
              <w:jc w:val="center"/>
              <w:rPr>
                <w:rFonts w:cs="Times New Roman"/>
                <w:szCs w:val="24"/>
              </w:rPr>
            </w:pPr>
            <w:r w:rsidRPr="004F2685">
              <w:rPr>
                <w:rFonts w:cs="Times New Roman"/>
                <w:szCs w:val="24"/>
                <w:shd w:val="clear" w:color="auto" w:fill="FAF9F8"/>
              </w:rPr>
              <w:t>město Otrokovice, nám. 3. května 1340, 76502 Otrokovic</w:t>
            </w:r>
          </w:p>
        </w:tc>
        <w:tc>
          <w:tcPr>
            <w:tcW w:w="1232" w:type="dxa"/>
          </w:tcPr>
          <w:p w14:paraId="31AF4435" w14:textId="307ABEBF" w:rsidR="001A2B55" w:rsidRPr="004F2685" w:rsidRDefault="00E85CCF" w:rsidP="005F1233">
            <w:pPr>
              <w:pStyle w:val="KMnormal"/>
              <w:ind w:left="0"/>
              <w:jc w:val="center"/>
            </w:pPr>
            <w:r w:rsidRPr="004F2685">
              <w:t>11990</w:t>
            </w:r>
          </w:p>
        </w:tc>
        <w:tc>
          <w:tcPr>
            <w:tcW w:w="2595" w:type="dxa"/>
          </w:tcPr>
          <w:p w14:paraId="2BD87B33" w14:textId="77777777" w:rsidR="001A2B55" w:rsidRPr="004F2685" w:rsidRDefault="001A2B55" w:rsidP="005F1233">
            <w:pPr>
              <w:pStyle w:val="KMnormal"/>
              <w:ind w:left="0"/>
            </w:pPr>
            <w:r w:rsidRPr="004F2685">
              <w:t>Ostatní plocha</w:t>
            </w:r>
          </w:p>
        </w:tc>
      </w:tr>
    </w:tbl>
    <w:p w14:paraId="569D841A" w14:textId="0E334834" w:rsidR="001C2B3A" w:rsidRPr="004F2685" w:rsidRDefault="001C2B3A" w:rsidP="001C2B3A">
      <w:pPr>
        <w:pStyle w:val="KMnormal"/>
      </w:pPr>
    </w:p>
    <w:p w14:paraId="73E1C7D0" w14:textId="77777777" w:rsidR="0065708B" w:rsidRPr="004F2685" w:rsidRDefault="0065708B" w:rsidP="006F7C00">
      <w:pPr>
        <w:pStyle w:val="KMnadpis3"/>
      </w:pPr>
      <w:r w:rsidRPr="004F2685">
        <w:t>Seznam pozemků podle katastru nemovitostí, na kterých vznikne ochranné nebo bezpečnostní pásmo:</w:t>
      </w:r>
    </w:p>
    <w:p w14:paraId="37BB65C2" w14:textId="002138CA" w:rsidR="0065708B" w:rsidRPr="004F2685" w:rsidRDefault="001A2B55" w:rsidP="0065708B">
      <w:pPr>
        <w:pStyle w:val="KMnormal"/>
      </w:pPr>
      <w:r w:rsidRPr="004F2685">
        <w:t>Nejsou.</w:t>
      </w:r>
    </w:p>
    <w:p w14:paraId="2B3B8C3C" w14:textId="77777777" w:rsidR="007E757C" w:rsidRPr="004F2685" w:rsidRDefault="002A67FB" w:rsidP="006459C7">
      <w:pPr>
        <w:pStyle w:val="KMnadpis1"/>
      </w:pPr>
      <w:bookmarkStart w:id="5" w:name="_Toc55326791"/>
      <w:r w:rsidRPr="004F2685">
        <w:lastRenderedPageBreak/>
        <w:t>Celkový popis stavby</w:t>
      </w:r>
      <w:bookmarkEnd w:id="5"/>
    </w:p>
    <w:p w14:paraId="267F9B96" w14:textId="77777777" w:rsidR="0056318E" w:rsidRPr="004F2685" w:rsidRDefault="0056318E" w:rsidP="003441A6">
      <w:pPr>
        <w:pStyle w:val="KMnadpis2"/>
      </w:pPr>
      <w:bookmarkStart w:id="6" w:name="_Toc55326792"/>
      <w:r w:rsidRPr="004F2685">
        <w:t>Základní charakteristika stavby a jejího užívání</w:t>
      </w:r>
      <w:bookmarkEnd w:id="6"/>
    </w:p>
    <w:p w14:paraId="08808F67" w14:textId="77777777" w:rsidR="0056318E" w:rsidRPr="004F2685" w:rsidRDefault="00112628" w:rsidP="00112628">
      <w:pPr>
        <w:pStyle w:val="KMnadpis3"/>
        <w:numPr>
          <w:ilvl w:val="0"/>
          <w:numId w:val="12"/>
        </w:numPr>
      </w:pPr>
      <w:r w:rsidRPr="004F2685">
        <w:t xml:space="preserve">Nová stavba nebo změna dokončené stavby; u změny stavby údaje o jejich současném stavu, závěry stavebně technického, případně stavebně historického průzkumu a výsledky statického posouzení nosných konstrukcí: </w:t>
      </w:r>
    </w:p>
    <w:p w14:paraId="470A27F4" w14:textId="3AE77BE7" w:rsidR="00081542" w:rsidRPr="004F2685" w:rsidRDefault="008D2736" w:rsidP="008D2736">
      <w:pPr>
        <w:pStyle w:val="KMnormal"/>
        <w:jc w:val="both"/>
      </w:pPr>
      <w:r w:rsidRPr="004F2685">
        <w:t xml:space="preserve">Jedná se o objekt občanské </w:t>
      </w:r>
      <w:proofErr w:type="gramStart"/>
      <w:r w:rsidRPr="004F2685">
        <w:t>vybavenosti - stavbu</w:t>
      </w:r>
      <w:proofErr w:type="gramEnd"/>
      <w:r w:rsidRPr="004F2685">
        <w:t xml:space="preserve"> nového dětského brouzdaliště, na místě odstraněného brouzdaliště, doplněného o vodní skluzavky do prostoru velkého bazénu a novou úpravnu bazénové vody</w:t>
      </w:r>
      <w:r w:rsidR="00855913" w:rsidRPr="004F2685">
        <w:t xml:space="preserve"> a strojovnu pro vodní atrakce</w:t>
      </w:r>
      <w:r w:rsidRPr="004F2685">
        <w:t>.</w:t>
      </w:r>
    </w:p>
    <w:p w14:paraId="6BAB84B2" w14:textId="77777777" w:rsidR="00112628" w:rsidRPr="004F2685" w:rsidRDefault="00112628" w:rsidP="00112628">
      <w:pPr>
        <w:pStyle w:val="KMnadpis3"/>
        <w:numPr>
          <w:ilvl w:val="0"/>
          <w:numId w:val="12"/>
        </w:numPr>
      </w:pPr>
      <w:r w:rsidRPr="004F2685">
        <w:t>Účel užívání stavby:</w:t>
      </w:r>
    </w:p>
    <w:p w14:paraId="2E0E7E53" w14:textId="36D78110" w:rsidR="00081542" w:rsidRPr="004F2685" w:rsidRDefault="001A2B55" w:rsidP="00C82E82">
      <w:pPr>
        <w:pStyle w:val="KMnormal"/>
      </w:pPr>
      <w:r w:rsidRPr="004F2685">
        <w:t>Stavba pro rekreaci – dětské bro</w:t>
      </w:r>
      <w:r w:rsidR="00E85CCF" w:rsidRPr="004F2685">
        <w:t>u</w:t>
      </w:r>
      <w:r w:rsidRPr="004F2685">
        <w:t>zdaliště.</w:t>
      </w:r>
    </w:p>
    <w:p w14:paraId="7D111216" w14:textId="77777777" w:rsidR="00112628" w:rsidRPr="004F2685" w:rsidRDefault="00112628" w:rsidP="00112628">
      <w:pPr>
        <w:pStyle w:val="KMnadpis3"/>
        <w:numPr>
          <w:ilvl w:val="0"/>
          <w:numId w:val="12"/>
        </w:numPr>
      </w:pPr>
      <w:r w:rsidRPr="004F2685">
        <w:t>Trvalá nebo dočasná stavba:</w:t>
      </w:r>
    </w:p>
    <w:p w14:paraId="12EFD154" w14:textId="2E71BDD6" w:rsidR="00081542" w:rsidRPr="004F2685" w:rsidRDefault="001A2B55" w:rsidP="00C82E82">
      <w:pPr>
        <w:pStyle w:val="KMnormal"/>
      </w:pPr>
      <w:r w:rsidRPr="004F2685">
        <w:t>Trvalá stavba.</w:t>
      </w:r>
    </w:p>
    <w:p w14:paraId="153E3665" w14:textId="77777777" w:rsidR="00112628" w:rsidRPr="004F2685" w:rsidRDefault="00112628" w:rsidP="00112628">
      <w:pPr>
        <w:pStyle w:val="KMnadpis3"/>
        <w:numPr>
          <w:ilvl w:val="0"/>
          <w:numId w:val="12"/>
        </w:numPr>
      </w:pPr>
      <w:r w:rsidRPr="004F2685">
        <w:t>Informace o vydaných rozhodnutích o povolení výjimky z technických požadavků na stavby a technických požadavků zabezpečujících bezbariérové užívání stavby</w:t>
      </w:r>
      <w:r w:rsidR="00081542" w:rsidRPr="004F2685">
        <w:t>:</w:t>
      </w:r>
    </w:p>
    <w:p w14:paraId="0EB980FC" w14:textId="3E0F4649" w:rsidR="00081542" w:rsidRPr="004F2685" w:rsidRDefault="0031695B" w:rsidP="00081542">
      <w:pPr>
        <w:pStyle w:val="KMnormal"/>
      </w:pPr>
      <w:r w:rsidRPr="004F2685">
        <w:t>Bez výjimek.</w:t>
      </w:r>
    </w:p>
    <w:p w14:paraId="7D95F12D" w14:textId="77777777" w:rsidR="00081542" w:rsidRPr="004F2685" w:rsidRDefault="00081542" w:rsidP="00112628">
      <w:pPr>
        <w:pStyle w:val="KMnadpis3"/>
        <w:numPr>
          <w:ilvl w:val="0"/>
          <w:numId w:val="12"/>
        </w:numPr>
      </w:pPr>
      <w:r w:rsidRPr="004F2685">
        <w:t xml:space="preserve">Informace o tom, zda a v jakých částech dokumentace jsou zohledněny podmínky závazných stanovisek dotčených orgánů: </w:t>
      </w:r>
    </w:p>
    <w:p w14:paraId="7C523CF0" w14:textId="05E1ACC9" w:rsidR="00081542" w:rsidRPr="004F2685" w:rsidRDefault="0031695B" w:rsidP="00081542">
      <w:pPr>
        <w:pStyle w:val="KMnormal"/>
      </w:pPr>
      <w:r w:rsidRPr="004F2685">
        <w:t>Případné podmínky závazných stanovisek dotčených orgánů budou doplněny do PD před podáním žádosti o stavební povolení na stavební úřad.</w:t>
      </w:r>
    </w:p>
    <w:p w14:paraId="79F8AB1C" w14:textId="77777777" w:rsidR="00081542" w:rsidRPr="004F2685" w:rsidRDefault="00081542" w:rsidP="00112628">
      <w:pPr>
        <w:pStyle w:val="KMnadpis3"/>
        <w:numPr>
          <w:ilvl w:val="0"/>
          <w:numId w:val="12"/>
        </w:numPr>
      </w:pPr>
      <w:r w:rsidRPr="004F2685">
        <w:t>Ochrana stavby podle jiných právních předpisů:</w:t>
      </w:r>
    </w:p>
    <w:p w14:paraId="53C94EFA" w14:textId="78134457" w:rsidR="00081542" w:rsidRPr="004F2685" w:rsidRDefault="0031695B" w:rsidP="00081542">
      <w:pPr>
        <w:pStyle w:val="KMnormal"/>
      </w:pPr>
      <w:r w:rsidRPr="004F2685">
        <w:t>Na stavbu brouzdaliště se nevztahuje ochrana stavby podle jiných právních předpisů.</w:t>
      </w:r>
    </w:p>
    <w:p w14:paraId="6CE7A5C2" w14:textId="77777777" w:rsidR="00081542" w:rsidRPr="004F2685" w:rsidRDefault="00081542" w:rsidP="00112628">
      <w:pPr>
        <w:pStyle w:val="KMnadpis3"/>
        <w:numPr>
          <w:ilvl w:val="0"/>
          <w:numId w:val="12"/>
        </w:numPr>
      </w:pPr>
      <w:r w:rsidRPr="004F2685">
        <w:t>Navrhované parametry stavby – zastavěná plocha, obestavěný prostor, užitná plocha, počet funkčních jednotek a jejich velikost apod.:</w:t>
      </w:r>
    </w:p>
    <w:p w14:paraId="0DCEF49F" w14:textId="35A574B3" w:rsidR="00081542" w:rsidRPr="004F2685" w:rsidRDefault="00C36E00" w:rsidP="00813335">
      <w:pPr>
        <w:pStyle w:val="KMnormal"/>
        <w:spacing w:before="60" w:after="80"/>
      </w:pPr>
      <w:r w:rsidRPr="004F2685">
        <w:t xml:space="preserve">Zastavěná </w:t>
      </w:r>
      <w:proofErr w:type="gramStart"/>
      <w:r w:rsidRPr="004F2685">
        <w:t xml:space="preserve">plocha:   </w:t>
      </w:r>
      <w:proofErr w:type="gramEnd"/>
      <w:r w:rsidRPr="004F2685">
        <w:t xml:space="preserve">        </w:t>
      </w:r>
      <w:r w:rsidR="00882EB8" w:rsidRPr="004F2685">
        <w:t>646,72</w:t>
      </w:r>
      <w:r w:rsidR="00DB0449" w:rsidRPr="004F2685">
        <w:t xml:space="preserve"> </w:t>
      </w:r>
      <w:r w:rsidRPr="004F2685">
        <w:t>m</w:t>
      </w:r>
      <w:r w:rsidRPr="004F2685">
        <w:rPr>
          <w:rFonts w:ascii="Calibri" w:hAnsi="Calibri" w:cs="Calibri"/>
        </w:rPr>
        <w:t>²</w:t>
      </w:r>
    </w:p>
    <w:p w14:paraId="578B3607" w14:textId="5ECB1DCA" w:rsidR="00C36E00" w:rsidRPr="004F2685" w:rsidRDefault="00C36E00" w:rsidP="00813335">
      <w:pPr>
        <w:pStyle w:val="KMnormal"/>
        <w:spacing w:before="60" w:after="80"/>
      </w:pPr>
      <w:r w:rsidRPr="004F2685">
        <w:t xml:space="preserve">Obestavěný </w:t>
      </w:r>
      <w:proofErr w:type="gramStart"/>
      <w:r w:rsidRPr="004F2685">
        <w:t xml:space="preserve">prostor:   </w:t>
      </w:r>
      <w:proofErr w:type="gramEnd"/>
      <w:r w:rsidRPr="004F2685">
        <w:t xml:space="preserve">     </w:t>
      </w:r>
      <w:r w:rsidR="00C907D0" w:rsidRPr="004F2685">
        <w:t>219,96</w:t>
      </w:r>
      <w:r w:rsidR="00DB0449" w:rsidRPr="004F2685">
        <w:t xml:space="preserve"> </w:t>
      </w:r>
      <w:r w:rsidRPr="004F2685">
        <w:t xml:space="preserve"> m</w:t>
      </w:r>
      <w:r w:rsidR="009B13D1" w:rsidRPr="004F2685">
        <w:rPr>
          <w:rFonts w:ascii="Calibri" w:hAnsi="Calibri" w:cs="Calibri"/>
        </w:rPr>
        <w:t>³</w:t>
      </w:r>
    </w:p>
    <w:p w14:paraId="12A48236" w14:textId="1C7382FA" w:rsidR="00C36E00" w:rsidRPr="004F2685" w:rsidRDefault="00C36E00" w:rsidP="00813335">
      <w:pPr>
        <w:pStyle w:val="KMnormal"/>
        <w:spacing w:before="60" w:after="80"/>
      </w:pPr>
      <w:r w:rsidRPr="004F2685">
        <w:t xml:space="preserve">Užitná </w:t>
      </w:r>
      <w:proofErr w:type="gramStart"/>
      <w:r w:rsidRPr="004F2685">
        <w:t xml:space="preserve">plocha:   </w:t>
      </w:r>
      <w:proofErr w:type="gramEnd"/>
      <w:r w:rsidRPr="004F2685">
        <w:t xml:space="preserve">              </w:t>
      </w:r>
      <w:r w:rsidR="007D3158" w:rsidRPr="004F2685">
        <w:t>229,49</w:t>
      </w:r>
      <w:r w:rsidR="00DB0449" w:rsidRPr="004F2685">
        <w:t xml:space="preserve"> </w:t>
      </w:r>
      <w:r w:rsidRPr="004F2685">
        <w:t xml:space="preserve"> m</w:t>
      </w:r>
      <w:r w:rsidRPr="004F2685">
        <w:rPr>
          <w:rFonts w:ascii="Calibri" w:hAnsi="Calibri" w:cs="Calibri"/>
        </w:rPr>
        <w:t>²</w:t>
      </w:r>
    </w:p>
    <w:p w14:paraId="4C241906" w14:textId="77777777" w:rsidR="00081542" w:rsidRPr="004F2685" w:rsidRDefault="00081542" w:rsidP="00112628">
      <w:pPr>
        <w:pStyle w:val="KMnadpis3"/>
        <w:numPr>
          <w:ilvl w:val="0"/>
          <w:numId w:val="12"/>
        </w:numPr>
      </w:pPr>
      <w:r w:rsidRPr="004F2685">
        <w:t>Základní bilance stavby – potřeby a spotřeby médií a hmot, hospodaření s dešťovou vodou, celkové produkované množství a druhy odpadů a emisí, třída energetické náročnosti budovy apod.:</w:t>
      </w:r>
    </w:p>
    <w:p w14:paraId="1FE0D8FE" w14:textId="53B3054C" w:rsidR="005C0667" w:rsidRPr="004F2685" w:rsidRDefault="006C4BF6" w:rsidP="00DB0449">
      <w:pPr>
        <w:pStyle w:val="KMnormal"/>
      </w:pPr>
      <w:r w:rsidRPr="004F2685">
        <w:t>Dešťové vody nebudou odváděny pryč z</w:t>
      </w:r>
      <w:r w:rsidR="00C22397" w:rsidRPr="004F2685">
        <w:t> </w:t>
      </w:r>
      <w:r w:rsidRPr="004F2685">
        <w:t>pozemku</w:t>
      </w:r>
      <w:r w:rsidR="00C22397" w:rsidRPr="004F2685">
        <w:t>. Budou zasakovány</w:t>
      </w:r>
      <w:r w:rsidR="00AE4110" w:rsidRPr="004F2685">
        <w:t>.</w:t>
      </w:r>
    </w:p>
    <w:p w14:paraId="0FF14BA3" w14:textId="77777777" w:rsidR="005C0667" w:rsidRPr="004F2685" w:rsidRDefault="005C0667" w:rsidP="005C0667">
      <w:pPr>
        <w:pStyle w:val="KMnormal"/>
      </w:pPr>
    </w:p>
    <w:p w14:paraId="36EF6B01" w14:textId="77777777" w:rsidR="00081542" w:rsidRPr="004F2685" w:rsidRDefault="00081542" w:rsidP="00112628">
      <w:pPr>
        <w:pStyle w:val="KMnadpis3"/>
        <w:numPr>
          <w:ilvl w:val="0"/>
          <w:numId w:val="12"/>
        </w:numPr>
      </w:pPr>
      <w:r w:rsidRPr="004F2685">
        <w:lastRenderedPageBreak/>
        <w:t>Základná předpoklady výstavby – časové údaje o realizaci stavby, členění na etapy:</w:t>
      </w:r>
    </w:p>
    <w:p w14:paraId="19E8E772" w14:textId="67FE45F3" w:rsidR="00081542" w:rsidRPr="004F2685" w:rsidRDefault="008E3891" w:rsidP="00081542">
      <w:pPr>
        <w:pStyle w:val="KMnormal"/>
      </w:pPr>
      <w:r w:rsidRPr="004F2685">
        <w:t xml:space="preserve">Stavba bude realizována </w:t>
      </w:r>
      <w:r w:rsidR="00EB161D" w:rsidRPr="004F2685">
        <w:t xml:space="preserve">v jedné etapě. Předpoklad zahájení prací je začátek roku 2021 a dokončení </w:t>
      </w:r>
      <w:r w:rsidR="00E223EB" w:rsidRPr="004F2685">
        <w:t>v roce</w:t>
      </w:r>
      <w:r w:rsidR="00EB161D" w:rsidRPr="004F2685">
        <w:t xml:space="preserve"> 2021.</w:t>
      </w:r>
    </w:p>
    <w:p w14:paraId="1703D157" w14:textId="77777777" w:rsidR="00081542" w:rsidRPr="004F2685" w:rsidRDefault="00081542" w:rsidP="00112628">
      <w:pPr>
        <w:pStyle w:val="KMnadpis3"/>
        <w:numPr>
          <w:ilvl w:val="0"/>
          <w:numId w:val="12"/>
        </w:numPr>
      </w:pPr>
      <w:r w:rsidRPr="004F2685">
        <w:t>Orientační náklady stavby:</w:t>
      </w:r>
    </w:p>
    <w:p w14:paraId="0882B0AE" w14:textId="782B73A2" w:rsidR="00081542" w:rsidRPr="004F2685" w:rsidRDefault="00A46A93" w:rsidP="00081542">
      <w:pPr>
        <w:pStyle w:val="KMnormal"/>
      </w:pPr>
      <w:r w:rsidRPr="004F2685">
        <w:t>10 mil. Kč</w:t>
      </w:r>
    </w:p>
    <w:p w14:paraId="18C0ADEC" w14:textId="77777777" w:rsidR="009D3263" w:rsidRPr="004F2685" w:rsidRDefault="009D3263" w:rsidP="009D3263">
      <w:pPr>
        <w:pStyle w:val="KMnadpis2"/>
      </w:pPr>
      <w:bookmarkStart w:id="7" w:name="_Toc55326793"/>
      <w:r w:rsidRPr="004F2685">
        <w:t>Celkové urbanistické a architektonické řešení stavby</w:t>
      </w:r>
      <w:bookmarkEnd w:id="7"/>
    </w:p>
    <w:p w14:paraId="32DCFEBE" w14:textId="77777777" w:rsidR="00FC7AD6" w:rsidRPr="004F2685" w:rsidRDefault="00FC7AD6" w:rsidP="00FC7AD6">
      <w:pPr>
        <w:pStyle w:val="KMnadpis3"/>
        <w:numPr>
          <w:ilvl w:val="0"/>
          <w:numId w:val="3"/>
        </w:numPr>
      </w:pPr>
      <w:r w:rsidRPr="004F2685">
        <w:t>Urbanismus – územní regulace, kompozice prostorového řešení</w:t>
      </w:r>
      <w:r w:rsidR="00985928" w:rsidRPr="004F2685">
        <w:t>:</w:t>
      </w:r>
    </w:p>
    <w:p w14:paraId="632587DA" w14:textId="3EB35D81" w:rsidR="009D3263" w:rsidRPr="004F2685" w:rsidRDefault="000332A0" w:rsidP="009D3263">
      <w:pPr>
        <w:pStyle w:val="KMnormal"/>
      </w:pPr>
      <w:r w:rsidRPr="004F2685">
        <w:t>Stavba je v souladu s územním plánem města Otrokovice.</w:t>
      </w:r>
    </w:p>
    <w:p w14:paraId="31D9A551" w14:textId="77777777" w:rsidR="00FC7AD6" w:rsidRPr="004F2685" w:rsidRDefault="00FC7AD6" w:rsidP="00FC7AD6">
      <w:pPr>
        <w:pStyle w:val="KMnadpis3"/>
        <w:numPr>
          <w:ilvl w:val="0"/>
          <w:numId w:val="3"/>
        </w:numPr>
      </w:pPr>
      <w:r w:rsidRPr="004F2685">
        <w:t>Architektonické řešení – kompozice tvarového řešení, materiálové a barevné řešení</w:t>
      </w:r>
      <w:r w:rsidR="00985928" w:rsidRPr="004F2685">
        <w:t>:</w:t>
      </w:r>
    </w:p>
    <w:p w14:paraId="05A7D637" w14:textId="4FC70B07" w:rsidR="00FC7AD6" w:rsidRPr="004F2685" w:rsidRDefault="007D1415" w:rsidP="00F47553">
      <w:pPr>
        <w:pStyle w:val="KMnormal"/>
        <w:jc w:val="both"/>
      </w:pPr>
      <w:r w:rsidRPr="004F2685">
        <w:t xml:space="preserve">Nové brouzdaliště je navrženo, jako průnik </w:t>
      </w:r>
      <w:r w:rsidR="004E4D4F" w:rsidRPr="004F2685">
        <w:t xml:space="preserve">níže položeného čtverce a výše položeného obdélníku. </w:t>
      </w:r>
      <w:r w:rsidR="008163B2" w:rsidRPr="004F2685">
        <w:t>Konstrukční návrh je řešen z železobetonu. Finální povrh bude proveden z těžké bazénové fólie</w:t>
      </w:r>
      <w:r w:rsidR="006D079A" w:rsidRPr="004F2685">
        <w:t>.</w:t>
      </w:r>
    </w:p>
    <w:p w14:paraId="12D1C1E4" w14:textId="77777777" w:rsidR="009D3263" w:rsidRPr="004F2685" w:rsidRDefault="009D3263" w:rsidP="009D3263">
      <w:pPr>
        <w:pStyle w:val="KMnadpis2"/>
      </w:pPr>
      <w:bookmarkStart w:id="8" w:name="_Toc55326794"/>
      <w:r w:rsidRPr="004F2685">
        <w:t>Celkové provozní řešení, technologie výroby</w:t>
      </w:r>
      <w:bookmarkEnd w:id="8"/>
    </w:p>
    <w:p w14:paraId="14080D5D" w14:textId="0BDC2FBD" w:rsidR="009D3263" w:rsidRPr="004F2685" w:rsidRDefault="009B0910" w:rsidP="009D3263">
      <w:pPr>
        <w:pStyle w:val="KMnormal"/>
      </w:pPr>
      <w:r w:rsidRPr="004F2685">
        <w:t>Technologická část je řešena v</w:t>
      </w:r>
      <w:r w:rsidR="00F752FA" w:rsidRPr="004F2685">
        <w:t> části projektové dokumentace PD 01 – bazénová technologie.</w:t>
      </w:r>
    </w:p>
    <w:p w14:paraId="13F571D8" w14:textId="77777777" w:rsidR="009D3263" w:rsidRPr="004F2685" w:rsidRDefault="009D3263" w:rsidP="009D3263">
      <w:pPr>
        <w:pStyle w:val="KMnadpis2"/>
      </w:pPr>
      <w:bookmarkStart w:id="9" w:name="_Toc55326795"/>
      <w:r w:rsidRPr="004F2685">
        <w:t>Bezbariérové užívání stavby</w:t>
      </w:r>
      <w:bookmarkEnd w:id="9"/>
    </w:p>
    <w:p w14:paraId="4A1D22C4" w14:textId="08A09D7A" w:rsidR="00813335" w:rsidRPr="004F2685" w:rsidRDefault="00237629" w:rsidP="00813335">
      <w:pPr>
        <w:pStyle w:val="KMnormal"/>
      </w:pPr>
      <w:r w:rsidRPr="004F2685">
        <w:t>Přístup k brouzdališti je řešen bezbariérově</w:t>
      </w:r>
      <w:r w:rsidR="005F74A4" w:rsidRPr="004F2685">
        <w:t xml:space="preserve"> v souladu s vyhláškou MMR č. 398/2009 Sb.</w:t>
      </w:r>
    </w:p>
    <w:p w14:paraId="5ACB94FD" w14:textId="77777777" w:rsidR="009D3263" w:rsidRPr="004F2685" w:rsidRDefault="009D3263" w:rsidP="009D3263">
      <w:pPr>
        <w:pStyle w:val="KMnadpis2"/>
      </w:pPr>
      <w:bookmarkStart w:id="10" w:name="_Toc55326796"/>
      <w:r w:rsidRPr="004F2685">
        <w:t>Bezpečnost při užívání stavby</w:t>
      </w:r>
      <w:bookmarkEnd w:id="10"/>
    </w:p>
    <w:p w14:paraId="4F1F9B4E" w14:textId="24FFD467" w:rsidR="009D3263" w:rsidRPr="004F2685" w:rsidRDefault="005F74A4" w:rsidP="005F74A4">
      <w:pPr>
        <w:pStyle w:val="KMnormal"/>
        <w:jc w:val="both"/>
      </w:pPr>
      <w:r w:rsidRPr="004F2685">
        <w:t xml:space="preserve">Stavba je navržena a bude provedena takovým způsobem, aby při jejím užívání a provozu nevznikalo nepřijatelné nebezpečí nehod nebo poškození, např. uklouznutím, pádem, nárazem, popálením </w:t>
      </w:r>
      <w:proofErr w:type="gramStart"/>
      <w:r w:rsidRPr="004F2685">
        <w:t>nebo  zásahem</w:t>
      </w:r>
      <w:proofErr w:type="gramEnd"/>
      <w:r w:rsidRPr="004F2685">
        <w:t xml:space="preserve"> elektrickým proudem. Během užívání stavby budou dodrženy veškeré příslušné legislativní předpisy. Stavba je v projektové dokumentaci navržena dle zákona č. 183/2006 Sb. a vyhlášky č. 268/2009 Sb. o technických požadavcích na stavby.</w:t>
      </w:r>
    </w:p>
    <w:p w14:paraId="0A95E0AC" w14:textId="233439BF" w:rsidR="009D3263" w:rsidRPr="004F2685" w:rsidRDefault="009D3263" w:rsidP="009D3263">
      <w:pPr>
        <w:pStyle w:val="KMnadpis2"/>
      </w:pPr>
      <w:bookmarkStart w:id="11" w:name="_Toc55326797"/>
      <w:r w:rsidRPr="004F2685">
        <w:lastRenderedPageBreak/>
        <w:t>Základní charakteristika objektů</w:t>
      </w:r>
      <w:bookmarkEnd w:id="11"/>
    </w:p>
    <w:p w14:paraId="25982935" w14:textId="0755AC24" w:rsidR="00C42700" w:rsidRPr="004F2685" w:rsidRDefault="00C42700" w:rsidP="00C42700">
      <w:pPr>
        <w:pStyle w:val="KMnadpis1"/>
        <w:numPr>
          <w:ilvl w:val="0"/>
          <w:numId w:val="0"/>
        </w:numPr>
        <w:ind w:left="1531"/>
        <w:rPr>
          <w:sz w:val="24"/>
          <w:szCs w:val="24"/>
        </w:rPr>
      </w:pPr>
      <w:bookmarkStart w:id="12" w:name="_Toc55326798"/>
      <w:r w:rsidRPr="004F2685">
        <w:rPr>
          <w:sz w:val="24"/>
          <w:szCs w:val="24"/>
        </w:rPr>
        <w:t>Stavební objekty:</w:t>
      </w:r>
      <w:bookmarkEnd w:id="12"/>
    </w:p>
    <w:p w14:paraId="782D3D02" w14:textId="00F14325" w:rsidR="00C42700" w:rsidRPr="004F2685" w:rsidRDefault="00C42700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</w:rPr>
      </w:pPr>
      <w:bookmarkStart w:id="13" w:name="_Toc55326799"/>
      <w:r w:rsidRPr="004F2685">
        <w:rPr>
          <w:b w:val="0"/>
          <w:bCs/>
          <w:sz w:val="24"/>
          <w:szCs w:val="24"/>
        </w:rPr>
        <w:t>SO 01 – Brouzdaliště a brodítka</w:t>
      </w:r>
      <w:bookmarkEnd w:id="13"/>
    </w:p>
    <w:p w14:paraId="42A9A5F4" w14:textId="0FD99F36" w:rsidR="00C42700" w:rsidRPr="004F2685" w:rsidRDefault="00C42700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</w:rPr>
      </w:pPr>
      <w:bookmarkStart w:id="14" w:name="_Toc55326800"/>
      <w:r w:rsidRPr="004F2685">
        <w:rPr>
          <w:b w:val="0"/>
          <w:bCs/>
          <w:sz w:val="24"/>
          <w:szCs w:val="24"/>
        </w:rPr>
        <w:t>SO 02 – Skluzavky</w:t>
      </w:r>
      <w:bookmarkEnd w:id="14"/>
    </w:p>
    <w:p w14:paraId="6EFBCD36" w14:textId="2C945A78" w:rsidR="00C42700" w:rsidRPr="004F2685" w:rsidRDefault="00C42700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</w:rPr>
      </w:pPr>
      <w:bookmarkStart w:id="15" w:name="_Toc55326801"/>
      <w:r w:rsidRPr="004F2685">
        <w:rPr>
          <w:b w:val="0"/>
          <w:bCs/>
          <w:sz w:val="24"/>
          <w:szCs w:val="24"/>
        </w:rPr>
        <w:t>SO 03 – Zpevněné plochy</w:t>
      </w:r>
      <w:bookmarkEnd w:id="15"/>
    </w:p>
    <w:p w14:paraId="525F8363" w14:textId="7F48FCC9" w:rsidR="00C42700" w:rsidRPr="004F2685" w:rsidRDefault="00C42700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</w:rPr>
      </w:pPr>
      <w:bookmarkStart w:id="16" w:name="_Toc55326802"/>
      <w:r w:rsidRPr="004F2685">
        <w:rPr>
          <w:b w:val="0"/>
          <w:bCs/>
          <w:sz w:val="24"/>
          <w:szCs w:val="24"/>
        </w:rPr>
        <w:t>SO 04 – Šachty pro bazénovou technologii</w:t>
      </w:r>
      <w:bookmarkEnd w:id="16"/>
    </w:p>
    <w:p w14:paraId="2E1695CB" w14:textId="665BBCBD" w:rsidR="00C42700" w:rsidRPr="004F2685" w:rsidRDefault="00C42700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</w:rPr>
      </w:pPr>
      <w:bookmarkStart w:id="17" w:name="_Toc55326803"/>
      <w:r w:rsidRPr="004F2685">
        <w:rPr>
          <w:b w:val="0"/>
          <w:bCs/>
          <w:sz w:val="24"/>
          <w:szCs w:val="24"/>
        </w:rPr>
        <w:t xml:space="preserve">SO 05 – </w:t>
      </w:r>
      <w:r w:rsidR="00963603" w:rsidRPr="004F2685">
        <w:rPr>
          <w:b w:val="0"/>
          <w:bCs/>
          <w:sz w:val="24"/>
          <w:szCs w:val="24"/>
        </w:rPr>
        <w:t>S</w:t>
      </w:r>
      <w:r w:rsidR="000D3F93" w:rsidRPr="004F2685">
        <w:rPr>
          <w:b w:val="0"/>
          <w:bCs/>
          <w:sz w:val="24"/>
          <w:szCs w:val="24"/>
        </w:rPr>
        <w:t>ilnoproud</w:t>
      </w:r>
      <w:bookmarkEnd w:id="17"/>
    </w:p>
    <w:p w14:paraId="4E199E02" w14:textId="2E777DBD" w:rsidR="00C42700" w:rsidRPr="004F2685" w:rsidRDefault="00C42700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</w:rPr>
      </w:pPr>
      <w:bookmarkStart w:id="18" w:name="_Toc55326804"/>
      <w:r w:rsidRPr="004F2685">
        <w:rPr>
          <w:b w:val="0"/>
          <w:bCs/>
          <w:sz w:val="24"/>
          <w:szCs w:val="24"/>
        </w:rPr>
        <w:t>SO 06 – Areálová kanalizace a vodovod</w:t>
      </w:r>
      <w:bookmarkEnd w:id="18"/>
    </w:p>
    <w:p w14:paraId="391F88FD" w14:textId="09D716C6" w:rsidR="00C42700" w:rsidRPr="004F2685" w:rsidRDefault="00C42700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</w:rPr>
      </w:pPr>
    </w:p>
    <w:p w14:paraId="1B915AA3" w14:textId="04B1BBC1" w:rsidR="00C42700" w:rsidRPr="004F2685" w:rsidRDefault="00C42700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sz w:val="24"/>
          <w:szCs w:val="24"/>
        </w:rPr>
      </w:pPr>
      <w:bookmarkStart w:id="19" w:name="_Toc55326805"/>
      <w:r w:rsidRPr="004F2685">
        <w:rPr>
          <w:sz w:val="24"/>
          <w:szCs w:val="24"/>
        </w:rPr>
        <w:t>Provozní soubory:</w:t>
      </w:r>
      <w:bookmarkEnd w:id="19"/>
    </w:p>
    <w:p w14:paraId="69A81FC5" w14:textId="7CB990CE" w:rsidR="00C42700" w:rsidRPr="004F2685" w:rsidRDefault="00C42700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</w:rPr>
      </w:pPr>
      <w:bookmarkStart w:id="20" w:name="_Toc55326806"/>
      <w:r w:rsidRPr="004F2685">
        <w:rPr>
          <w:b w:val="0"/>
          <w:bCs/>
          <w:sz w:val="24"/>
          <w:szCs w:val="24"/>
        </w:rPr>
        <w:t>PS 01 – Bazénová technologie</w:t>
      </w:r>
      <w:bookmarkEnd w:id="20"/>
    </w:p>
    <w:p w14:paraId="75F523B9" w14:textId="586857D5" w:rsidR="00C42700" w:rsidRPr="004F2685" w:rsidRDefault="00C42700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</w:rPr>
      </w:pPr>
    </w:p>
    <w:p w14:paraId="35FE6850" w14:textId="4F9DA56E" w:rsidR="00C42700" w:rsidRPr="004F2685" w:rsidRDefault="00C42700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  <w:u w:val="single"/>
        </w:rPr>
      </w:pPr>
      <w:bookmarkStart w:id="21" w:name="_Toc55326807"/>
      <w:r w:rsidRPr="004F2685">
        <w:rPr>
          <w:b w:val="0"/>
          <w:bCs/>
          <w:sz w:val="24"/>
          <w:szCs w:val="24"/>
          <w:u w:val="single"/>
        </w:rPr>
        <w:t>SO 01 – Brouzdaliště a brodítka</w:t>
      </w:r>
      <w:bookmarkEnd w:id="21"/>
    </w:p>
    <w:p w14:paraId="27BE0627" w14:textId="77777777" w:rsidR="003323E0" w:rsidRPr="004F2685" w:rsidRDefault="003323E0" w:rsidP="00F47553">
      <w:pPr>
        <w:pStyle w:val="KMnadpis1"/>
        <w:numPr>
          <w:ilvl w:val="0"/>
          <w:numId w:val="0"/>
        </w:numPr>
        <w:spacing w:before="0" w:line="240" w:lineRule="auto"/>
        <w:ind w:left="1531"/>
        <w:jc w:val="both"/>
        <w:rPr>
          <w:b w:val="0"/>
          <w:bCs/>
          <w:sz w:val="24"/>
          <w:szCs w:val="24"/>
        </w:rPr>
      </w:pPr>
      <w:bookmarkStart w:id="22" w:name="_Toc55326808"/>
      <w:r w:rsidRPr="004F2685">
        <w:rPr>
          <w:b w:val="0"/>
          <w:bCs/>
          <w:sz w:val="24"/>
          <w:szCs w:val="24"/>
        </w:rPr>
        <w:t>Brouzdaliště je řešeno jako ŽB monolitická konstrukce, o rozměrech 12 x 10,6 m, hloubky 0,4 – 0,35 metru a 15,46 x 6,6 metru, hloubky 0,05 – 0,2 metru. Brodítka jsou řešena jako monolitická ŽB konstrukce o rozměrech 2,4 x 2 metry.</w:t>
      </w:r>
      <w:bookmarkEnd w:id="22"/>
    </w:p>
    <w:p w14:paraId="2DFEB442" w14:textId="77777777" w:rsidR="003323E0" w:rsidRPr="004F2685" w:rsidRDefault="003323E0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</w:rPr>
      </w:pPr>
    </w:p>
    <w:p w14:paraId="6DE04406" w14:textId="6E0A6FF5" w:rsidR="00D316D6" w:rsidRPr="004F2685" w:rsidRDefault="003323E0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  <w:u w:val="single"/>
        </w:rPr>
      </w:pPr>
      <w:bookmarkStart w:id="23" w:name="_Toc55326809"/>
      <w:r w:rsidRPr="004F2685">
        <w:rPr>
          <w:b w:val="0"/>
          <w:bCs/>
          <w:sz w:val="24"/>
          <w:szCs w:val="24"/>
          <w:u w:val="single"/>
        </w:rPr>
        <w:t>SO 02 - Skluzavky</w:t>
      </w:r>
      <w:bookmarkEnd w:id="23"/>
      <w:r w:rsidRPr="004F2685">
        <w:rPr>
          <w:b w:val="0"/>
          <w:bCs/>
          <w:sz w:val="24"/>
          <w:szCs w:val="24"/>
          <w:u w:val="single"/>
        </w:rPr>
        <w:t xml:space="preserve"> </w:t>
      </w:r>
    </w:p>
    <w:p w14:paraId="2176008B" w14:textId="77917392" w:rsidR="003323E0" w:rsidRPr="004F2685" w:rsidRDefault="003323E0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</w:rPr>
      </w:pPr>
      <w:bookmarkStart w:id="24" w:name="_Toc55326810"/>
      <w:r w:rsidRPr="004F2685">
        <w:rPr>
          <w:b w:val="0"/>
          <w:bCs/>
          <w:sz w:val="24"/>
          <w:szCs w:val="24"/>
        </w:rPr>
        <w:t xml:space="preserve">Skluzavky jsou ukotveny na </w:t>
      </w:r>
      <w:r w:rsidR="007F4332" w:rsidRPr="004F2685">
        <w:rPr>
          <w:b w:val="0"/>
          <w:bCs/>
          <w:sz w:val="24"/>
          <w:szCs w:val="24"/>
        </w:rPr>
        <w:t>ŽB základech, konstrukce je žárově zinkovaná, skluzy jsou laminátové.</w:t>
      </w:r>
      <w:bookmarkEnd w:id="24"/>
    </w:p>
    <w:p w14:paraId="220BB1E9" w14:textId="35B4F383" w:rsidR="007F4332" w:rsidRPr="004F2685" w:rsidRDefault="007F4332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</w:rPr>
      </w:pPr>
    </w:p>
    <w:p w14:paraId="79EEC772" w14:textId="347FDA54" w:rsidR="007F4332" w:rsidRPr="004F2685" w:rsidRDefault="007F4332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  <w:u w:val="single"/>
        </w:rPr>
      </w:pPr>
      <w:bookmarkStart w:id="25" w:name="_Toc55326811"/>
      <w:r w:rsidRPr="004F2685">
        <w:rPr>
          <w:b w:val="0"/>
          <w:bCs/>
          <w:sz w:val="24"/>
          <w:szCs w:val="24"/>
          <w:u w:val="single"/>
        </w:rPr>
        <w:t>SO 03 – Zpevněné plochy</w:t>
      </w:r>
      <w:bookmarkEnd w:id="25"/>
    </w:p>
    <w:p w14:paraId="27E794B8" w14:textId="0DA7353F" w:rsidR="007F4332" w:rsidRPr="004F2685" w:rsidRDefault="007F4332" w:rsidP="004224F3">
      <w:pPr>
        <w:pStyle w:val="KMnadpis1"/>
        <w:numPr>
          <w:ilvl w:val="0"/>
          <w:numId w:val="0"/>
        </w:numPr>
        <w:spacing w:before="0" w:line="240" w:lineRule="auto"/>
        <w:ind w:left="1531"/>
        <w:jc w:val="both"/>
        <w:rPr>
          <w:b w:val="0"/>
          <w:bCs/>
          <w:sz w:val="24"/>
          <w:szCs w:val="24"/>
        </w:rPr>
      </w:pPr>
      <w:bookmarkStart w:id="26" w:name="_Toc55326812"/>
      <w:r w:rsidRPr="004F2685">
        <w:rPr>
          <w:b w:val="0"/>
          <w:bCs/>
          <w:sz w:val="24"/>
          <w:szCs w:val="24"/>
        </w:rPr>
        <w:t>Zpevněné plochy jsou tvořeny násypy štěrkodrtě, finální povrch je pak z betonové dlažby o rozměrech 40 x 40 cm, alternativně o rozměrech 50 x 50 cm.</w:t>
      </w:r>
      <w:bookmarkEnd w:id="26"/>
    </w:p>
    <w:p w14:paraId="62B2600A" w14:textId="701B5BA3" w:rsidR="007F4332" w:rsidRPr="004F2685" w:rsidRDefault="007F4332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</w:rPr>
      </w:pPr>
    </w:p>
    <w:p w14:paraId="64976DA8" w14:textId="4AE358D7" w:rsidR="007F4332" w:rsidRPr="004F2685" w:rsidRDefault="007F4332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  <w:u w:val="single"/>
        </w:rPr>
      </w:pPr>
      <w:bookmarkStart w:id="27" w:name="_Toc55326813"/>
      <w:r w:rsidRPr="004F2685">
        <w:rPr>
          <w:b w:val="0"/>
          <w:bCs/>
          <w:sz w:val="24"/>
          <w:szCs w:val="24"/>
          <w:u w:val="single"/>
        </w:rPr>
        <w:t>SO 04 – Šachty pro bazénovou technologii</w:t>
      </w:r>
      <w:bookmarkEnd w:id="27"/>
    </w:p>
    <w:p w14:paraId="3C8B73FE" w14:textId="1B75D3E4" w:rsidR="007F4332" w:rsidRPr="004F2685" w:rsidRDefault="007F4332" w:rsidP="00B808FF">
      <w:pPr>
        <w:pStyle w:val="KMnadpis1"/>
        <w:numPr>
          <w:ilvl w:val="0"/>
          <w:numId w:val="0"/>
        </w:numPr>
        <w:spacing w:before="0" w:line="240" w:lineRule="auto"/>
        <w:ind w:left="1531"/>
        <w:jc w:val="both"/>
        <w:rPr>
          <w:b w:val="0"/>
          <w:bCs/>
          <w:sz w:val="24"/>
          <w:szCs w:val="24"/>
        </w:rPr>
      </w:pPr>
      <w:bookmarkStart w:id="28" w:name="_Toc55326814"/>
      <w:r w:rsidRPr="004F2685">
        <w:rPr>
          <w:b w:val="0"/>
          <w:bCs/>
          <w:sz w:val="24"/>
          <w:szCs w:val="24"/>
        </w:rPr>
        <w:t>Šacht</w:t>
      </w:r>
      <w:r w:rsidR="00FE63EB" w:rsidRPr="004F2685">
        <w:rPr>
          <w:b w:val="0"/>
          <w:bCs/>
          <w:sz w:val="24"/>
          <w:szCs w:val="24"/>
        </w:rPr>
        <w:t xml:space="preserve">a 1 </w:t>
      </w:r>
      <w:r w:rsidRPr="004F2685">
        <w:rPr>
          <w:b w:val="0"/>
          <w:bCs/>
          <w:sz w:val="24"/>
          <w:szCs w:val="24"/>
        </w:rPr>
        <w:t xml:space="preserve">pro bazénovou technologii </w:t>
      </w:r>
      <w:r w:rsidR="00FE63EB" w:rsidRPr="004F2685">
        <w:rPr>
          <w:b w:val="0"/>
          <w:bCs/>
          <w:sz w:val="24"/>
          <w:szCs w:val="24"/>
        </w:rPr>
        <w:t>je prefabrikovaný výrobek,</w:t>
      </w:r>
      <w:r w:rsidRPr="004F2685">
        <w:rPr>
          <w:b w:val="0"/>
          <w:bCs/>
          <w:sz w:val="24"/>
          <w:szCs w:val="24"/>
        </w:rPr>
        <w:t xml:space="preserve"> typ </w:t>
      </w:r>
      <w:proofErr w:type="spellStart"/>
      <w:r w:rsidRPr="004F2685">
        <w:rPr>
          <w:b w:val="0"/>
          <w:bCs/>
          <w:sz w:val="24"/>
          <w:szCs w:val="24"/>
        </w:rPr>
        <w:t>Prefa</w:t>
      </w:r>
      <w:proofErr w:type="spellEnd"/>
      <w:r w:rsidRPr="004F2685">
        <w:rPr>
          <w:b w:val="0"/>
          <w:bCs/>
          <w:sz w:val="24"/>
          <w:szCs w:val="24"/>
        </w:rPr>
        <w:t xml:space="preserve"> PNO/280/610/238/14, půdorysné rozměry 6380 x 3080 cm, výška 2690, tloušťka stěn 14 cm.</w:t>
      </w:r>
      <w:bookmarkEnd w:id="28"/>
    </w:p>
    <w:p w14:paraId="485B31F9" w14:textId="22E30E72" w:rsidR="00FC7DF8" w:rsidRPr="004F2685" w:rsidRDefault="007F4332" w:rsidP="00B808FF">
      <w:pPr>
        <w:pStyle w:val="KMnadpis1"/>
        <w:numPr>
          <w:ilvl w:val="0"/>
          <w:numId w:val="0"/>
        </w:numPr>
        <w:spacing w:before="0" w:line="240" w:lineRule="auto"/>
        <w:ind w:left="1531"/>
        <w:jc w:val="both"/>
        <w:rPr>
          <w:b w:val="0"/>
          <w:bCs/>
          <w:sz w:val="24"/>
          <w:szCs w:val="24"/>
        </w:rPr>
      </w:pPr>
      <w:bookmarkStart w:id="29" w:name="_Toc55326815"/>
      <w:r w:rsidRPr="004F2685">
        <w:rPr>
          <w:b w:val="0"/>
          <w:bCs/>
          <w:sz w:val="24"/>
          <w:szCs w:val="24"/>
        </w:rPr>
        <w:t>Šachta</w:t>
      </w:r>
      <w:r w:rsidR="00FE63EB" w:rsidRPr="004F2685">
        <w:rPr>
          <w:b w:val="0"/>
          <w:bCs/>
          <w:sz w:val="24"/>
          <w:szCs w:val="24"/>
        </w:rPr>
        <w:t>2</w:t>
      </w:r>
      <w:r w:rsidRPr="004F2685">
        <w:rPr>
          <w:b w:val="0"/>
          <w:bCs/>
          <w:sz w:val="24"/>
          <w:szCs w:val="24"/>
        </w:rPr>
        <w:t xml:space="preserve"> pro </w:t>
      </w:r>
      <w:r w:rsidR="00FC7DF8" w:rsidRPr="004F2685">
        <w:rPr>
          <w:b w:val="0"/>
          <w:bCs/>
          <w:sz w:val="24"/>
          <w:szCs w:val="24"/>
        </w:rPr>
        <w:t xml:space="preserve">atrakce </w:t>
      </w:r>
      <w:r w:rsidR="00FE63EB" w:rsidRPr="004F2685">
        <w:rPr>
          <w:b w:val="0"/>
          <w:bCs/>
          <w:sz w:val="24"/>
          <w:szCs w:val="24"/>
        </w:rPr>
        <w:t xml:space="preserve">je prefabrikovaný výrobek, </w:t>
      </w:r>
      <w:r w:rsidR="00FC7DF8" w:rsidRPr="004F2685">
        <w:rPr>
          <w:b w:val="0"/>
          <w:bCs/>
          <w:sz w:val="24"/>
          <w:szCs w:val="24"/>
        </w:rPr>
        <w:t xml:space="preserve">typ </w:t>
      </w:r>
      <w:proofErr w:type="spellStart"/>
      <w:r w:rsidR="00FC7DF8" w:rsidRPr="004F2685">
        <w:rPr>
          <w:b w:val="0"/>
          <w:bCs/>
          <w:sz w:val="24"/>
          <w:szCs w:val="24"/>
        </w:rPr>
        <w:t>Prefa</w:t>
      </w:r>
      <w:proofErr w:type="spellEnd"/>
      <w:r w:rsidR="00FC7DF8" w:rsidRPr="004F2685">
        <w:rPr>
          <w:b w:val="0"/>
          <w:bCs/>
          <w:sz w:val="24"/>
          <w:szCs w:val="24"/>
        </w:rPr>
        <w:t xml:space="preserve"> PNO/240/380/238/14, půdorysné rozměry 4080 x 2680, výška 2690, tloušťka stěn 14 cm.</w:t>
      </w:r>
      <w:bookmarkEnd w:id="29"/>
    </w:p>
    <w:p w14:paraId="2DA9A1AE" w14:textId="484890AD" w:rsidR="00FE63EB" w:rsidRPr="004F2685" w:rsidRDefault="00FE63EB" w:rsidP="00B808FF">
      <w:pPr>
        <w:pStyle w:val="KMnadpis1"/>
        <w:numPr>
          <w:ilvl w:val="0"/>
          <w:numId w:val="0"/>
        </w:numPr>
        <w:spacing w:before="0" w:line="240" w:lineRule="auto"/>
        <w:ind w:left="1531"/>
        <w:jc w:val="both"/>
        <w:rPr>
          <w:b w:val="0"/>
          <w:bCs/>
          <w:sz w:val="24"/>
          <w:szCs w:val="24"/>
        </w:rPr>
      </w:pPr>
      <w:bookmarkStart w:id="30" w:name="_Toc55326816"/>
      <w:r w:rsidRPr="004F2685">
        <w:rPr>
          <w:b w:val="0"/>
          <w:bCs/>
          <w:sz w:val="24"/>
          <w:szCs w:val="24"/>
        </w:rPr>
        <w:t>Šachta 3 čerpací jímka, typový kruhový prefabrikovaný výrobek, bude sloužit ke gravitačnímu odvodnění šachet 1 a 2. V šachtě bude umístěno čerpadlo.</w:t>
      </w:r>
      <w:bookmarkEnd w:id="30"/>
    </w:p>
    <w:p w14:paraId="1DCD2D62" w14:textId="77777777" w:rsidR="00FC7DF8" w:rsidRPr="004F2685" w:rsidRDefault="00FC7DF8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</w:rPr>
      </w:pPr>
    </w:p>
    <w:p w14:paraId="6086F8F6" w14:textId="380C9DB7" w:rsidR="007F4332" w:rsidRPr="004F2685" w:rsidRDefault="00FC7DF8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  <w:u w:val="single"/>
        </w:rPr>
      </w:pPr>
      <w:bookmarkStart w:id="31" w:name="_Toc55326817"/>
      <w:r w:rsidRPr="004F2685">
        <w:rPr>
          <w:b w:val="0"/>
          <w:bCs/>
          <w:sz w:val="24"/>
          <w:szCs w:val="24"/>
          <w:u w:val="single"/>
        </w:rPr>
        <w:t>SO 05 - Silnoproud</w:t>
      </w:r>
      <w:bookmarkEnd w:id="31"/>
      <w:r w:rsidR="007F4332" w:rsidRPr="004F2685">
        <w:rPr>
          <w:b w:val="0"/>
          <w:bCs/>
          <w:sz w:val="24"/>
          <w:szCs w:val="24"/>
          <w:u w:val="single"/>
        </w:rPr>
        <w:t xml:space="preserve"> </w:t>
      </w:r>
    </w:p>
    <w:p w14:paraId="570B45BA" w14:textId="79A121FA" w:rsidR="00FC7DF8" w:rsidRPr="004F2685" w:rsidRDefault="00FE63EB" w:rsidP="00B808FF">
      <w:pPr>
        <w:pStyle w:val="KMnadpis1"/>
        <w:numPr>
          <w:ilvl w:val="0"/>
          <w:numId w:val="0"/>
        </w:numPr>
        <w:spacing w:before="0" w:line="240" w:lineRule="auto"/>
        <w:ind w:left="1531"/>
        <w:jc w:val="both"/>
        <w:rPr>
          <w:b w:val="0"/>
          <w:bCs/>
          <w:sz w:val="24"/>
          <w:szCs w:val="24"/>
        </w:rPr>
      </w:pPr>
      <w:bookmarkStart w:id="32" w:name="_Toc55326818"/>
      <w:r w:rsidRPr="004F2685">
        <w:rPr>
          <w:b w:val="0"/>
          <w:bCs/>
          <w:sz w:val="24"/>
          <w:szCs w:val="24"/>
        </w:rPr>
        <w:t>Napájení – Stávající elektroměrový rozváděč s jističem před elektroměrem 3/B/</w:t>
      </w:r>
      <w:proofErr w:type="gramStart"/>
      <w:r w:rsidRPr="004F2685">
        <w:rPr>
          <w:b w:val="0"/>
          <w:bCs/>
          <w:sz w:val="24"/>
          <w:szCs w:val="24"/>
        </w:rPr>
        <w:t>80A</w:t>
      </w:r>
      <w:proofErr w:type="gramEnd"/>
      <w:r w:rsidRPr="004F2685">
        <w:rPr>
          <w:b w:val="0"/>
          <w:bCs/>
          <w:sz w:val="24"/>
          <w:szCs w:val="24"/>
        </w:rPr>
        <w:t xml:space="preserve"> bude vyměněn za nový, s jednosazbovým nepřímím měřením a jističem před elektroměrem 2/B/125A. Bude provedeno napájecí vedení zemním kabelem z elektroměrového rozváděče do rozváděče R1 umístěného v hlavní budově, v místnosti 1.21. Délka napájecího vedení je cca 60 metrů.</w:t>
      </w:r>
      <w:bookmarkEnd w:id="32"/>
      <w:r w:rsidRPr="004F2685">
        <w:rPr>
          <w:b w:val="0"/>
          <w:bCs/>
          <w:sz w:val="24"/>
          <w:szCs w:val="24"/>
        </w:rPr>
        <w:t xml:space="preserve"> </w:t>
      </w:r>
    </w:p>
    <w:p w14:paraId="35A16A22" w14:textId="77777777" w:rsidR="00B808FF" w:rsidRPr="004F2685" w:rsidRDefault="00B808FF" w:rsidP="00C42700">
      <w:pPr>
        <w:pStyle w:val="KMnadpis1"/>
        <w:numPr>
          <w:ilvl w:val="0"/>
          <w:numId w:val="0"/>
        </w:numPr>
        <w:spacing w:before="0" w:line="240" w:lineRule="auto"/>
        <w:ind w:left="1531"/>
        <w:rPr>
          <w:b w:val="0"/>
          <w:bCs/>
          <w:sz w:val="24"/>
          <w:szCs w:val="24"/>
        </w:rPr>
      </w:pPr>
    </w:p>
    <w:p w14:paraId="1B24B0A1" w14:textId="3536DD0B" w:rsidR="00B808FF" w:rsidRPr="004F2685" w:rsidRDefault="00B808FF" w:rsidP="00B808FF">
      <w:pPr>
        <w:pStyle w:val="KMnadpis1"/>
        <w:numPr>
          <w:ilvl w:val="0"/>
          <w:numId w:val="0"/>
        </w:numPr>
        <w:spacing w:before="0" w:line="240" w:lineRule="auto"/>
        <w:ind w:left="1531"/>
        <w:jc w:val="both"/>
        <w:rPr>
          <w:b w:val="0"/>
          <w:bCs/>
          <w:sz w:val="24"/>
          <w:szCs w:val="24"/>
        </w:rPr>
      </w:pPr>
      <w:bookmarkStart w:id="33" w:name="_Toc55326819"/>
      <w:r w:rsidRPr="004F2685">
        <w:rPr>
          <w:b w:val="0"/>
          <w:bCs/>
          <w:sz w:val="24"/>
          <w:szCs w:val="24"/>
        </w:rPr>
        <w:t>Osvětlení – Zůstává stávající, bude doplněno proudovými chrániči s reziduálním proudem 30 mA. Nově bude instalováno osvětlení v šachtě čerpadel.</w:t>
      </w:r>
      <w:bookmarkEnd w:id="33"/>
    </w:p>
    <w:p w14:paraId="14CAAF4A" w14:textId="3EB35784" w:rsidR="00B808FF" w:rsidRPr="004F2685" w:rsidRDefault="00B808FF" w:rsidP="00B808FF">
      <w:pPr>
        <w:pStyle w:val="KMnadpis1"/>
        <w:numPr>
          <w:ilvl w:val="0"/>
          <w:numId w:val="0"/>
        </w:numPr>
        <w:spacing w:before="0" w:line="240" w:lineRule="auto"/>
        <w:ind w:left="1531"/>
        <w:jc w:val="both"/>
        <w:rPr>
          <w:b w:val="0"/>
          <w:bCs/>
          <w:sz w:val="24"/>
          <w:szCs w:val="24"/>
        </w:rPr>
      </w:pPr>
    </w:p>
    <w:p w14:paraId="03D8301D" w14:textId="77777777" w:rsidR="00B808FF" w:rsidRPr="004F2685" w:rsidRDefault="00B808FF" w:rsidP="00B808FF">
      <w:pPr>
        <w:pStyle w:val="KMnadpis1"/>
        <w:numPr>
          <w:ilvl w:val="0"/>
          <w:numId w:val="0"/>
        </w:numPr>
        <w:spacing w:before="0" w:line="240" w:lineRule="auto"/>
        <w:ind w:left="1531"/>
        <w:jc w:val="both"/>
        <w:rPr>
          <w:b w:val="0"/>
          <w:bCs/>
          <w:sz w:val="24"/>
          <w:szCs w:val="24"/>
        </w:rPr>
      </w:pPr>
      <w:bookmarkStart w:id="34" w:name="_Toc55326820"/>
      <w:r w:rsidRPr="004F2685">
        <w:rPr>
          <w:b w:val="0"/>
          <w:bCs/>
          <w:sz w:val="24"/>
          <w:szCs w:val="24"/>
        </w:rPr>
        <w:lastRenderedPageBreak/>
        <w:t>Zásuvkové obvody – v šachtě čerpadel jsou v provedení 3PĚPE+N, 230 V, 16 A, krytí IP66.</w:t>
      </w:r>
      <w:bookmarkEnd w:id="34"/>
    </w:p>
    <w:p w14:paraId="3965F417" w14:textId="44251F2E" w:rsidR="0076611B" w:rsidRPr="004F2685" w:rsidRDefault="0076611B" w:rsidP="00431132">
      <w:pPr>
        <w:pStyle w:val="KMnormal"/>
        <w:ind w:left="0"/>
      </w:pPr>
    </w:p>
    <w:p w14:paraId="1751E5B5" w14:textId="77777777" w:rsidR="009D3263" w:rsidRPr="004F2685" w:rsidRDefault="009D3263" w:rsidP="005A0164">
      <w:pPr>
        <w:pStyle w:val="KMnadpis2"/>
      </w:pPr>
      <w:bookmarkStart w:id="35" w:name="_Toc55326821"/>
      <w:r w:rsidRPr="004F2685">
        <w:t>Základní charakteristika technických a technologických zařízení:</w:t>
      </w:r>
      <w:bookmarkEnd w:id="35"/>
      <w:r w:rsidRPr="004F2685">
        <w:t xml:space="preserve"> </w:t>
      </w:r>
    </w:p>
    <w:p w14:paraId="044B2571" w14:textId="6D7FC530" w:rsidR="009D3263" w:rsidRPr="004F2685" w:rsidRDefault="001F3C8F" w:rsidP="001414D0">
      <w:pPr>
        <w:pStyle w:val="KMnadpis3"/>
        <w:numPr>
          <w:ilvl w:val="0"/>
          <w:numId w:val="23"/>
        </w:numPr>
      </w:pPr>
      <w:r w:rsidRPr="004F2685">
        <w:t>Technické řešení</w:t>
      </w:r>
      <w:r w:rsidR="00985928" w:rsidRPr="004F2685">
        <w:t>:</w:t>
      </w:r>
    </w:p>
    <w:p w14:paraId="359179B2" w14:textId="77777777" w:rsidR="00755E1B" w:rsidRPr="004F2685" w:rsidRDefault="00755E1B" w:rsidP="00755E1B">
      <w:pPr>
        <w:pStyle w:val="KMnadpis3"/>
        <w:numPr>
          <w:ilvl w:val="0"/>
          <w:numId w:val="0"/>
        </w:numPr>
        <w:ind w:left="1919"/>
      </w:pPr>
    </w:p>
    <w:p w14:paraId="21AF030C" w14:textId="77777777" w:rsidR="001414D0" w:rsidRPr="004F2685" w:rsidRDefault="001414D0" w:rsidP="001414D0">
      <w:pPr>
        <w:spacing w:after="0" w:line="240" w:lineRule="auto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>V areálu je navržen tento bazén:</w:t>
      </w:r>
    </w:p>
    <w:p w14:paraId="11322974" w14:textId="77777777" w:rsidR="00755E1B" w:rsidRPr="004F2685" w:rsidRDefault="00755E1B" w:rsidP="001414D0">
      <w:pPr>
        <w:spacing w:after="0" w:line="240" w:lineRule="auto"/>
        <w:rPr>
          <w:rFonts w:ascii="Times New Roman" w:eastAsiaTheme="majorEastAsia" w:hAnsi="Times New Roman" w:cstheme="majorBidi"/>
          <w:bCs/>
          <w:sz w:val="24"/>
          <w:szCs w:val="24"/>
        </w:rPr>
      </w:pPr>
    </w:p>
    <w:tbl>
      <w:tblPr>
        <w:tblpPr w:leftFromText="141" w:rightFromText="141" w:vertAnchor="text" w:horzAnchor="margin" w:tblpY="91"/>
        <w:tblW w:w="8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851"/>
        <w:gridCol w:w="708"/>
        <w:gridCol w:w="1134"/>
        <w:gridCol w:w="1276"/>
        <w:gridCol w:w="1276"/>
        <w:gridCol w:w="2126"/>
      </w:tblGrid>
      <w:tr w:rsidR="001414D0" w:rsidRPr="004F2685" w14:paraId="2005B7D9" w14:textId="77777777" w:rsidTr="005F1233">
        <w:trPr>
          <w:trHeight w:val="679"/>
        </w:trPr>
        <w:tc>
          <w:tcPr>
            <w:tcW w:w="1281" w:type="dxa"/>
            <w:vAlign w:val="center"/>
          </w:tcPr>
          <w:p w14:paraId="52149B54" w14:textId="77777777" w:rsidR="001414D0" w:rsidRPr="004F2685" w:rsidRDefault="001414D0" w:rsidP="005F1233">
            <w:pPr>
              <w:pStyle w:val="StylPrvndek0cm"/>
              <w:jc w:val="center"/>
              <w:rPr>
                <w:rFonts w:ascii="Calibri" w:hAnsi="Calibri" w:cs="Arial"/>
              </w:rPr>
            </w:pPr>
            <w:r w:rsidRPr="004F2685">
              <w:rPr>
                <w:rFonts w:ascii="Calibri" w:hAnsi="Calibri" w:cs="Arial"/>
              </w:rPr>
              <w:t>Účel bazénu</w:t>
            </w:r>
          </w:p>
        </w:tc>
        <w:tc>
          <w:tcPr>
            <w:tcW w:w="851" w:type="dxa"/>
            <w:vAlign w:val="center"/>
          </w:tcPr>
          <w:p w14:paraId="7B97D9A7" w14:textId="77777777" w:rsidR="001414D0" w:rsidRPr="004F2685" w:rsidRDefault="001414D0" w:rsidP="005F1233">
            <w:pPr>
              <w:pStyle w:val="StylPrvndek0cm"/>
              <w:jc w:val="center"/>
              <w:rPr>
                <w:rFonts w:ascii="Calibri" w:hAnsi="Calibri" w:cs="Arial"/>
              </w:rPr>
            </w:pPr>
            <w:r w:rsidRPr="004F2685">
              <w:rPr>
                <w:rFonts w:ascii="Calibri" w:hAnsi="Calibri" w:cs="Arial"/>
              </w:rPr>
              <w:t>Cirkulační okruh</w:t>
            </w:r>
          </w:p>
        </w:tc>
        <w:tc>
          <w:tcPr>
            <w:tcW w:w="708" w:type="dxa"/>
            <w:vAlign w:val="center"/>
          </w:tcPr>
          <w:p w14:paraId="0B85CA57" w14:textId="77777777" w:rsidR="001414D0" w:rsidRPr="004F2685" w:rsidRDefault="001414D0" w:rsidP="005F1233">
            <w:pPr>
              <w:pStyle w:val="StylPrvndek0cm"/>
              <w:jc w:val="center"/>
              <w:rPr>
                <w:rFonts w:ascii="Calibri" w:hAnsi="Calibri" w:cs="Arial"/>
              </w:rPr>
            </w:pPr>
            <w:r w:rsidRPr="004F2685">
              <w:rPr>
                <w:rFonts w:ascii="Calibri" w:hAnsi="Calibri" w:cs="Arial"/>
              </w:rPr>
              <w:t>Plocha m</w:t>
            </w:r>
            <w:r w:rsidRPr="004F2685">
              <w:rPr>
                <w:rFonts w:ascii="Calibri" w:hAnsi="Calibri" w:cs="Arial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6B02A06" w14:textId="77777777" w:rsidR="001414D0" w:rsidRPr="004F2685" w:rsidRDefault="001414D0" w:rsidP="005F1233">
            <w:pPr>
              <w:pStyle w:val="StylPrvndek0cm"/>
              <w:jc w:val="center"/>
              <w:rPr>
                <w:rFonts w:ascii="Calibri" w:hAnsi="Calibri" w:cs="Arial"/>
                <w:vertAlign w:val="superscript"/>
              </w:rPr>
            </w:pPr>
            <w:r w:rsidRPr="004F2685">
              <w:rPr>
                <w:rFonts w:ascii="Calibri" w:hAnsi="Calibri" w:cs="Arial"/>
              </w:rPr>
              <w:t>Objem m</w:t>
            </w:r>
            <w:r w:rsidRPr="004F2685">
              <w:rPr>
                <w:rFonts w:ascii="Calibri" w:hAnsi="Calibri" w:cs="Arial"/>
                <w:vertAlign w:val="superscript"/>
              </w:rPr>
              <w:t>3</w:t>
            </w:r>
          </w:p>
          <w:p w14:paraId="4F48E76B" w14:textId="77777777" w:rsidR="001414D0" w:rsidRPr="004F2685" w:rsidRDefault="001414D0" w:rsidP="005F1233">
            <w:pPr>
              <w:pStyle w:val="StylPrvndek0cm"/>
              <w:jc w:val="center"/>
              <w:rPr>
                <w:rFonts w:ascii="Calibri" w:hAnsi="Calibri" w:cs="Arial"/>
              </w:rPr>
            </w:pPr>
            <w:r w:rsidRPr="004F2685">
              <w:rPr>
                <w:rFonts w:ascii="Calibri" w:hAnsi="Calibri" w:cs="Arial"/>
              </w:rPr>
              <w:t>(bez akumulační jímky)</w:t>
            </w:r>
          </w:p>
        </w:tc>
        <w:tc>
          <w:tcPr>
            <w:tcW w:w="1276" w:type="dxa"/>
            <w:vAlign w:val="center"/>
          </w:tcPr>
          <w:p w14:paraId="3AE2D966" w14:textId="77777777" w:rsidR="001414D0" w:rsidRPr="004F2685" w:rsidRDefault="001414D0" w:rsidP="005F1233">
            <w:pPr>
              <w:pStyle w:val="StylPrvndek0cm"/>
              <w:jc w:val="center"/>
              <w:rPr>
                <w:rFonts w:ascii="Calibri" w:hAnsi="Calibri" w:cs="Arial"/>
                <w:vertAlign w:val="superscript"/>
              </w:rPr>
            </w:pPr>
            <w:r w:rsidRPr="004F2685">
              <w:rPr>
                <w:rFonts w:ascii="Calibri" w:hAnsi="Calibri" w:cs="Arial"/>
              </w:rPr>
              <w:t>Objem m</w:t>
            </w:r>
            <w:r w:rsidRPr="004F2685">
              <w:rPr>
                <w:rFonts w:ascii="Calibri" w:hAnsi="Calibri" w:cs="Arial"/>
                <w:vertAlign w:val="superscript"/>
              </w:rPr>
              <w:t>3</w:t>
            </w:r>
          </w:p>
          <w:p w14:paraId="2BBAFC9E" w14:textId="77777777" w:rsidR="001414D0" w:rsidRPr="004F2685" w:rsidRDefault="001414D0" w:rsidP="005F1233">
            <w:pPr>
              <w:pStyle w:val="StylPrvndek0cm"/>
              <w:jc w:val="center"/>
              <w:rPr>
                <w:rFonts w:ascii="Calibri" w:hAnsi="Calibri" w:cs="Arial"/>
              </w:rPr>
            </w:pPr>
            <w:r w:rsidRPr="004F2685">
              <w:rPr>
                <w:rFonts w:ascii="Calibri" w:hAnsi="Calibri" w:cs="Arial"/>
              </w:rPr>
              <w:t>(s akumulační jímkou)</w:t>
            </w:r>
          </w:p>
        </w:tc>
        <w:tc>
          <w:tcPr>
            <w:tcW w:w="1276" w:type="dxa"/>
            <w:vAlign w:val="center"/>
          </w:tcPr>
          <w:p w14:paraId="3F79F5B7" w14:textId="77777777" w:rsidR="001414D0" w:rsidRPr="004F2685" w:rsidRDefault="001414D0" w:rsidP="005F1233">
            <w:pPr>
              <w:pStyle w:val="StylPrvndek0cm"/>
              <w:jc w:val="center"/>
              <w:rPr>
                <w:rFonts w:ascii="Calibri" w:hAnsi="Calibri" w:cs="Arial"/>
              </w:rPr>
            </w:pPr>
            <w:r w:rsidRPr="004F2685">
              <w:rPr>
                <w:rFonts w:ascii="Calibri" w:hAnsi="Calibri" w:cs="Arial"/>
              </w:rPr>
              <w:t xml:space="preserve">Maximální teplota </w:t>
            </w:r>
            <w:r w:rsidRPr="004F2685">
              <w:rPr>
                <w:rFonts w:ascii="Calibri" w:hAnsi="Calibri" w:cs="Arial"/>
                <w:vertAlign w:val="superscript"/>
              </w:rPr>
              <w:t>°</w:t>
            </w:r>
            <w:r w:rsidRPr="004F2685">
              <w:rPr>
                <w:rFonts w:ascii="Calibri" w:hAnsi="Calibri" w:cs="Arial"/>
              </w:rPr>
              <w:t>C</w:t>
            </w:r>
          </w:p>
        </w:tc>
        <w:tc>
          <w:tcPr>
            <w:tcW w:w="2126" w:type="dxa"/>
            <w:vAlign w:val="center"/>
          </w:tcPr>
          <w:p w14:paraId="44D44FC9" w14:textId="77777777" w:rsidR="001414D0" w:rsidRPr="004F2685" w:rsidRDefault="001414D0" w:rsidP="005F1233">
            <w:pPr>
              <w:pStyle w:val="StylPrvndek0cm"/>
              <w:jc w:val="center"/>
              <w:rPr>
                <w:rFonts w:ascii="Calibri" w:hAnsi="Calibri" w:cs="Arial"/>
              </w:rPr>
            </w:pPr>
            <w:r w:rsidRPr="004F2685">
              <w:rPr>
                <w:rFonts w:ascii="Calibri" w:hAnsi="Calibri" w:cs="Arial"/>
              </w:rPr>
              <w:t>Zařazení bazénu dle vyhlášky 97/2014</w:t>
            </w:r>
          </w:p>
        </w:tc>
      </w:tr>
      <w:tr w:rsidR="001414D0" w:rsidRPr="004F2685" w14:paraId="7829196F" w14:textId="77777777" w:rsidTr="005F1233">
        <w:trPr>
          <w:trHeight w:val="430"/>
        </w:trPr>
        <w:tc>
          <w:tcPr>
            <w:tcW w:w="1281" w:type="dxa"/>
            <w:vAlign w:val="center"/>
          </w:tcPr>
          <w:p w14:paraId="166AD3E8" w14:textId="77777777" w:rsidR="001414D0" w:rsidRPr="004F2685" w:rsidRDefault="001414D0" w:rsidP="005F1233">
            <w:pPr>
              <w:pStyle w:val="StylPrvndek0cm"/>
              <w:jc w:val="center"/>
              <w:rPr>
                <w:rFonts w:ascii="Calibri" w:hAnsi="Calibri" w:cs="Arial"/>
              </w:rPr>
            </w:pPr>
            <w:r w:rsidRPr="004F2685">
              <w:rPr>
                <w:rFonts w:ascii="Calibri" w:hAnsi="Calibri" w:cs="Arial"/>
              </w:rPr>
              <w:t>Venkovní brouzdaliště</w:t>
            </w:r>
          </w:p>
        </w:tc>
        <w:tc>
          <w:tcPr>
            <w:tcW w:w="851" w:type="dxa"/>
            <w:vAlign w:val="center"/>
          </w:tcPr>
          <w:p w14:paraId="1B50171E" w14:textId="77777777" w:rsidR="001414D0" w:rsidRPr="004F2685" w:rsidRDefault="001414D0" w:rsidP="005F1233">
            <w:pPr>
              <w:pStyle w:val="Zhlav"/>
              <w:jc w:val="center"/>
              <w:rPr>
                <w:rFonts w:cs="Arial"/>
                <w:sz w:val="20"/>
              </w:rPr>
            </w:pPr>
            <w:r w:rsidRPr="004F2685">
              <w:rPr>
                <w:rFonts w:cs="Arial"/>
                <w:sz w:val="20"/>
              </w:rPr>
              <w:t>B</w:t>
            </w:r>
          </w:p>
        </w:tc>
        <w:tc>
          <w:tcPr>
            <w:tcW w:w="708" w:type="dxa"/>
            <w:vAlign w:val="center"/>
          </w:tcPr>
          <w:p w14:paraId="6A939756" w14:textId="77777777" w:rsidR="001414D0" w:rsidRPr="004F2685" w:rsidRDefault="001414D0" w:rsidP="005F1233">
            <w:pPr>
              <w:pStyle w:val="StylPrvndek0cm"/>
              <w:jc w:val="center"/>
              <w:rPr>
                <w:rFonts w:ascii="Calibri" w:hAnsi="Calibri" w:cs="Arial"/>
              </w:rPr>
            </w:pPr>
            <w:r w:rsidRPr="004F2685">
              <w:rPr>
                <w:rFonts w:ascii="Calibri" w:hAnsi="Calibri" w:cs="Arial"/>
              </w:rPr>
              <w:t>181,64</w:t>
            </w:r>
          </w:p>
        </w:tc>
        <w:tc>
          <w:tcPr>
            <w:tcW w:w="1134" w:type="dxa"/>
            <w:vAlign w:val="center"/>
          </w:tcPr>
          <w:p w14:paraId="3B21BC59" w14:textId="77777777" w:rsidR="001414D0" w:rsidRPr="004F2685" w:rsidRDefault="001414D0" w:rsidP="005F1233">
            <w:pPr>
              <w:pStyle w:val="StylPrvndek0cm"/>
              <w:jc w:val="center"/>
              <w:rPr>
                <w:rFonts w:ascii="Calibri" w:hAnsi="Calibri" w:cs="Arial"/>
              </w:rPr>
            </w:pPr>
            <w:r w:rsidRPr="004F2685">
              <w:rPr>
                <w:rFonts w:ascii="Calibri" w:hAnsi="Calibri" w:cs="Arial"/>
              </w:rPr>
              <w:t>45,51</w:t>
            </w:r>
          </w:p>
        </w:tc>
        <w:tc>
          <w:tcPr>
            <w:tcW w:w="1276" w:type="dxa"/>
            <w:vAlign w:val="center"/>
          </w:tcPr>
          <w:p w14:paraId="184370B6" w14:textId="77777777" w:rsidR="001414D0" w:rsidRPr="004F2685" w:rsidRDefault="001414D0" w:rsidP="005F1233">
            <w:pPr>
              <w:pStyle w:val="StylPrvndek0cm"/>
              <w:jc w:val="center"/>
              <w:rPr>
                <w:rFonts w:ascii="Calibri" w:hAnsi="Calibri" w:cs="Arial"/>
              </w:rPr>
            </w:pPr>
            <w:r w:rsidRPr="004F2685">
              <w:rPr>
                <w:rFonts w:ascii="Calibri" w:hAnsi="Calibri" w:cs="Arial"/>
              </w:rPr>
              <w:t>60,56</w:t>
            </w:r>
          </w:p>
        </w:tc>
        <w:tc>
          <w:tcPr>
            <w:tcW w:w="1276" w:type="dxa"/>
            <w:vAlign w:val="center"/>
          </w:tcPr>
          <w:p w14:paraId="6E47A971" w14:textId="77777777" w:rsidR="001414D0" w:rsidRPr="004F2685" w:rsidRDefault="001414D0" w:rsidP="005F1233">
            <w:pPr>
              <w:pStyle w:val="StylPrvndek0cm"/>
              <w:jc w:val="center"/>
              <w:rPr>
                <w:rFonts w:ascii="Calibri" w:hAnsi="Calibri" w:cs="Arial"/>
              </w:rPr>
            </w:pPr>
            <w:r w:rsidRPr="004F2685">
              <w:rPr>
                <w:rFonts w:ascii="Calibri" w:hAnsi="Calibri" w:cs="Arial"/>
              </w:rPr>
              <w:t>28</w:t>
            </w:r>
          </w:p>
        </w:tc>
        <w:tc>
          <w:tcPr>
            <w:tcW w:w="2126" w:type="dxa"/>
            <w:vAlign w:val="center"/>
          </w:tcPr>
          <w:p w14:paraId="4E3C3E26" w14:textId="77777777" w:rsidR="001414D0" w:rsidRPr="004F2685" w:rsidRDefault="001414D0" w:rsidP="005F1233">
            <w:pPr>
              <w:jc w:val="center"/>
              <w:rPr>
                <w:rFonts w:cs="Arial"/>
                <w:sz w:val="20"/>
              </w:rPr>
            </w:pPr>
            <w:r w:rsidRPr="004F2685">
              <w:rPr>
                <w:rFonts w:cs="Arial"/>
                <w:sz w:val="20"/>
              </w:rPr>
              <w:t>Brouzdaliště</w:t>
            </w:r>
          </w:p>
        </w:tc>
      </w:tr>
    </w:tbl>
    <w:p w14:paraId="5BC1AB29" w14:textId="77777777" w:rsidR="001414D0" w:rsidRPr="004F2685" w:rsidRDefault="001414D0" w:rsidP="001414D0">
      <w:pPr>
        <w:spacing w:after="0" w:line="240" w:lineRule="auto"/>
        <w:rPr>
          <w:sz w:val="20"/>
        </w:rPr>
      </w:pPr>
    </w:p>
    <w:p w14:paraId="0EE52DE6" w14:textId="77777777" w:rsidR="00755E1B" w:rsidRPr="004F2685" w:rsidRDefault="00755E1B" w:rsidP="001414D0">
      <w:pPr>
        <w:spacing w:after="0" w:line="240" w:lineRule="auto"/>
        <w:rPr>
          <w:sz w:val="20"/>
        </w:rPr>
      </w:pPr>
    </w:p>
    <w:p w14:paraId="2FD03D34" w14:textId="77777777" w:rsidR="001414D0" w:rsidRPr="004F2685" w:rsidRDefault="001414D0" w:rsidP="00755E1B">
      <w:pPr>
        <w:spacing w:after="0" w:line="240" w:lineRule="auto"/>
        <w:jc w:val="both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 xml:space="preserve">Venkovní brouzdaliště je navrženo železobetonové konstrukce s finálním povrchem bazénová fólie – viz. samostatná část PD, není obsahem této PD. </w:t>
      </w:r>
    </w:p>
    <w:p w14:paraId="62C8D0A6" w14:textId="77777777" w:rsidR="001414D0" w:rsidRPr="004F2685" w:rsidRDefault="001414D0" w:rsidP="00755E1B">
      <w:pPr>
        <w:spacing w:after="0" w:line="240" w:lineRule="auto"/>
        <w:jc w:val="both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 xml:space="preserve">Výměnný systém brouzdaliště – přívod vody je rozveden dnovým rozvodem, tak, aby zajišťoval cirkulaci vody v celém objemu vody v bazénu. Rovnoměrný odtok vody z hladiny je řešen hladinovým přelivným žlábkem. </w:t>
      </w:r>
    </w:p>
    <w:p w14:paraId="4CF96B90" w14:textId="77777777" w:rsidR="001414D0" w:rsidRPr="004F2685" w:rsidRDefault="001414D0" w:rsidP="00755E1B">
      <w:pPr>
        <w:spacing w:after="0" w:line="240" w:lineRule="auto"/>
        <w:jc w:val="both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 xml:space="preserve">Předpokládá se s přelivným žlábkem min. po 2/3 omočeného obvodu a s přívodem upravené vody do dna. </w:t>
      </w:r>
    </w:p>
    <w:p w14:paraId="306B50C2" w14:textId="6A90BFBA" w:rsidR="001414D0" w:rsidRPr="004F2685" w:rsidRDefault="001414D0" w:rsidP="00755E1B">
      <w:pPr>
        <w:spacing w:after="0" w:line="240" w:lineRule="auto"/>
        <w:jc w:val="both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 xml:space="preserve">Přelivný žlábek bude řešen typovou tvarovkou. Odběr vody z přelivných žlábků bude zaústěn samostatně do akumulační nádrže. Celková kapacita odběru je uvažována cca </w:t>
      </w:r>
      <w:proofErr w:type="gramStart"/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>70%</w:t>
      </w:r>
      <w:proofErr w:type="gramEnd"/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 xml:space="preserve"> recirkulovaného množství z přelivných žlábků a 30% z dnových výpustí.</w:t>
      </w:r>
    </w:p>
    <w:p w14:paraId="0855EE88" w14:textId="77777777" w:rsidR="001414D0" w:rsidRPr="004F2685" w:rsidRDefault="001414D0" w:rsidP="00755E1B">
      <w:pPr>
        <w:spacing w:after="0" w:line="240" w:lineRule="auto"/>
        <w:jc w:val="both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>V nejhlubším místě brouzdaliště bude osazen dnový odběr vody, kterým se také brouzdaliště vypouští. Vypouštěcí rozvod bude opatřen uzávěrem.</w:t>
      </w:r>
    </w:p>
    <w:p w14:paraId="63AC918C" w14:textId="77777777" w:rsidR="001414D0" w:rsidRPr="004F2685" w:rsidRDefault="001414D0" w:rsidP="00755E1B">
      <w:pPr>
        <w:spacing w:after="0" w:line="240" w:lineRule="auto"/>
        <w:jc w:val="both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 xml:space="preserve">Brouzdaliště bude dopuštěno přes akumulační jímku z vodovodu, která se přivede do podzemní technologické šachty (řeší část ZTI). </w:t>
      </w:r>
    </w:p>
    <w:p w14:paraId="6E58A643" w14:textId="77777777" w:rsidR="001414D0" w:rsidRPr="004F2685" w:rsidRDefault="001414D0" w:rsidP="00755E1B">
      <w:pPr>
        <w:spacing w:after="0" w:line="240" w:lineRule="auto"/>
        <w:jc w:val="both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 xml:space="preserve">Vypouštění vody přes dnovou výpust umístěnou na dně brouzdaliště. Pro brouzdaliště bude sání dnové vpusti v podzemní technologické šachtě napojeno na cirkulační čerpadla. </w:t>
      </w:r>
    </w:p>
    <w:p w14:paraId="59EF4296" w14:textId="77777777" w:rsidR="001414D0" w:rsidRPr="004F2685" w:rsidRDefault="001414D0" w:rsidP="00755E1B">
      <w:pPr>
        <w:spacing w:after="0" w:line="240" w:lineRule="auto"/>
        <w:jc w:val="both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 xml:space="preserve">Dispoziční řešení koncových prvků je patrné z výkresové části projektové dokumentace. Veškeré kovové prvky v bazénu včetně nerezových prostupů stavebními konstrukcemi musí být </w:t>
      </w:r>
      <w:proofErr w:type="spellStart"/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>pospojeny</w:t>
      </w:r>
      <w:proofErr w:type="spellEnd"/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 xml:space="preserve"> dle ČSN.</w:t>
      </w:r>
    </w:p>
    <w:p w14:paraId="4ADA6436" w14:textId="77777777" w:rsidR="001414D0" w:rsidRPr="004F2685" w:rsidRDefault="001414D0" w:rsidP="00755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 xml:space="preserve">Orientační kapacita vodní plochy dle vyhlášky 238/2011 ve znění dle </w:t>
      </w:r>
      <w:proofErr w:type="spellStart"/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>vyhl</w:t>
      </w:r>
      <w:proofErr w:type="spellEnd"/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>. č. 97/2014, uvažováno pro jedno dítě 1 m2.</w:t>
      </w:r>
    </w:p>
    <w:p w14:paraId="37433ECA" w14:textId="77777777" w:rsidR="001414D0" w:rsidRPr="004F2685" w:rsidRDefault="001414D0" w:rsidP="00755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>Okamžitá kapacita návštěvníků areálu krytých umělých koupališť se stanoví jako maximálně dvojnásobek kapacity vodní plochy bazénů.</w:t>
      </w:r>
    </w:p>
    <w:p w14:paraId="29CC96B0" w14:textId="77777777" w:rsidR="001414D0" w:rsidRPr="004F2685" w:rsidRDefault="001414D0" w:rsidP="00755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theme="majorBidi"/>
          <w:bCs/>
          <w:sz w:val="24"/>
          <w:szCs w:val="24"/>
        </w:rPr>
      </w:pPr>
      <w:r w:rsidRPr="004F2685">
        <w:rPr>
          <w:rFonts w:ascii="Times New Roman" w:eastAsiaTheme="majorEastAsia" w:hAnsi="Times New Roman" w:cstheme="majorBidi"/>
          <w:bCs/>
          <w:sz w:val="24"/>
          <w:szCs w:val="24"/>
        </w:rPr>
        <w:t>Pro předpokládaný veřejný provoz je nutno zajistit personální zabezpečení (bere se v úvahu i kamerový systém) dle normy TNV 94 0920-1.</w:t>
      </w:r>
    </w:p>
    <w:p w14:paraId="282B4CA0" w14:textId="77777777" w:rsidR="001414D0" w:rsidRPr="004F2685" w:rsidRDefault="001414D0" w:rsidP="00755E1B">
      <w:pPr>
        <w:pStyle w:val="KMnormal"/>
        <w:ind w:left="0"/>
        <w:jc w:val="both"/>
      </w:pPr>
    </w:p>
    <w:p w14:paraId="7168C7D6" w14:textId="77777777" w:rsidR="00755E1B" w:rsidRPr="004F2685" w:rsidRDefault="00755E1B" w:rsidP="00755E1B">
      <w:pPr>
        <w:pStyle w:val="KMnormal"/>
        <w:ind w:left="0"/>
        <w:jc w:val="both"/>
      </w:pPr>
    </w:p>
    <w:p w14:paraId="085717E9" w14:textId="77777777" w:rsidR="00755E1B" w:rsidRPr="004F2685" w:rsidRDefault="00755E1B" w:rsidP="00755E1B">
      <w:pPr>
        <w:pStyle w:val="KMnormal"/>
        <w:ind w:left="0"/>
        <w:jc w:val="both"/>
      </w:pPr>
    </w:p>
    <w:p w14:paraId="0C25A358" w14:textId="77777777" w:rsidR="00755E1B" w:rsidRPr="004F2685" w:rsidRDefault="00755E1B" w:rsidP="00755E1B">
      <w:pPr>
        <w:pStyle w:val="KMnormal"/>
        <w:ind w:left="0"/>
        <w:jc w:val="both"/>
      </w:pPr>
    </w:p>
    <w:p w14:paraId="51E82030" w14:textId="09219AEB" w:rsidR="001F3C8F" w:rsidRPr="004F2685" w:rsidRDefault="001F3C8F" w:rsidP="001F3C8F">
      <w:pPr>
        <w:pStyle w:val="KMnadpis3"/>
        <w:numPr>
          <w:ilvl w:val="0"/>
          <w:numId w:val="23"/>
        </w:numPr>
      </w:pPr>
      <w:r w:rsidRPr="004F2685">
        <w:lastRenderedPageBreak/>
        <w:t>Výčet technických a technologických zařízení</w:t>
      </w:r>
      <w:r w:rsidR="00985928" w:rsidRPr="004F2685">
        <w:t>:</w:t>
      </w:r>
    </w:p>
    <w:p w14:paraId="45042952" w14:textId="0DE91C90" w:rsidR="0044507B" w:rsidRPr="004F2685" w:rsidRDefault="0044507B" w:rsidP="006C21EB">
      <w:pPr>
        <w:spacing w:after="0" w:line="240" w:lineRule="auto"/>
        <w:rPr>
          <w:b/>
          <w:szCs w:val="24"/>
          <w:u w:val="single"/>
        </w:rPr>
      </w:pPr>
      <w:bookmarkStart w:id="36" w:name="_Toc306284169"/>
      <w:r w:rsidRPr="004F2685">
        <w:rPr>
          <w:b/>
          <w:szCs w:val="24"/>
          <w:u w:val="single"/>
        </w:rPr>
        <w:t>Vstupní parametry technologického řešení okruhu recyklace vod:</w:t>
      </w:r>
      <w:bookmarkEnd w:id="36"/>
      <w:r w:rsidRPr="004F2685">
        <w:rPr>
          <w:b/>
          <w:szCs w:val="24"/>
          <w:u w:val="single"/>
        </w:rPr>
        <w:t xml:space="preserve"> </w:t>
      </w:r>
    </w:p>
    <w:p w14:paraId="7479E5F0" w14:textId="77777777" w:rsidR="00266F78" w:rsidRPr="004F2685" w:rsidRDefault="00266F78" w:rsidP="006C21EB">
      <w:pPr>
        <w:spacing w:after="0" w:line="240" w:lineRule="auto"/>
        <w:rPr>
          <w:b/>
          <w:szCs w:val="24"/>
          <w:u w:val="single"/>
        </w:rPr>
      </w:pPr>
    </w:p>
    <w:tbl>
      <w:tblPr>
        <w:tblW w:w="8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383"/>
      </w:tblGrid>
      <w:tr w:rsidR="0070385C" w:rsidRPr="004F2685" w14:paraId="4A842826" w14:textId="77777777" w:rsidTr="005F1233">
        <w:trPr>
          <w:trHeight w:val="282"/>
        </w:trPr>
        <w:tc>
          <w:tcPr>
            <w:tcW w:w="5108" w:type="dxa"/>
            <w:vAlign w:val="center"/>
          </w:tcPr>
          <w:p w14:paraId="1BD0271F" w14:textId="77777777" w:rsidR="0070385C" w:rsidRPr="004F2685" w:rsidRDefault="0070385C" w:rsidP="005F123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4F2685">
              <w:rPr>
                <w:b/>
                <w:sz w:val="20"/>
              </w:rPr>
              <w:t>Parametr</w:t>
            </w:r>
          </w:p>
        </w:tc>
        <w:tc>
          <w:tcPr>
            <w:tcW w:w="3383" w:type="dxa"/>
            <w:vAlign w:val="center"/>
          </w:tcPr>
          <w:p w14:paraId="1B798CBB" w14:textId="77777777" w:rsidR="0070385C" w:rsidRPr="004F2685" w:rsidRDefault="0070385C" w:rsidP="005F123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4F2685">
              <w:rPr>
                <w:b/>
                <w:sz w:val="20"/>
              </w:rPr>
              <w:t>OKRUH „B“</w:t>
            </w:r>
          </w:p>
          <w:p w14:paraId="2118ABD1" w14:textId="77777777" w:rsidR="0070385C" w:rsidRPr="004F2685" w:rsidRDefault="0070385C" w:rsidP="005F123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4F2685">
              <w:rPr>
                <w:b/>
                <w:sz w:val="20"/>
              </w:rPr>
              <w:t xml:space="preserve"> Venkovní brouzdaliště</w:t>
            </w:r>
          </w:p>
        </w:tc>
      </w:tr>
      <w:tr w:rsidR="0070385C" w:rsidRPr="004F2685" w14:paraId="00FF13C1" w14:textId="77777777" w:rsidTr="005F1233">
        <w:trPr>
          <w:trHeight w:val="500"/>
        </w:trPr>
        <w:tc>
          <w:tcPr>
            <w:tcW w:w="5108" w:type="dxa"/>
            <w:vAlign w:val="center"/>
          </w:tcPr>
          <w:p w14:paraId="4B050EA0" w14:textId="77777777" w:rsidR="0070385C" w:rsidRPr="004F2685" w:rsidRDefault="0070385C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Celkový objem včetně akumulační jímky [m</w:t>
            </w:r>
            <w:r w:rsidRPr="004F2685">
              <w:rPr>
                <w:sz w:val="20"/>
                <w:vertAlign w:val="superscript"/>
              </w:rPr>
              <w:t>3</w:t>
            </w:r>
            <w:r w:rsidRPr="004F2685">
              <w:rPr>
                <w:sz w:val="20"/>
              </w:rPr>
              <w:t>]</w:t>
            </w:r>
          </w:p>
        </w:tc>
        <w:tc>
          <w:tcPr>
            <w:tcW w:w="3383" w:type="dxa"/>
            <w:vAlign w:val="center"/>
          </w:tcPr>
          <w:p w14:paraId="1C0EDB48" w14:textId="77777777" w:rsidR="0070385C" w:rsidRPr="004F2685" w:rsidRDefault="0070385C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65,05</w:t>
            </w:r>
          </w:p>
        </w:tc>
      </w:tr>
      <w:tr w:rsidR="0070385C" w:rsidRPr="004F2685" w14:paraId="57DED97D" w14:textId="77777777" w:rsidTr="005F1233">
        <w:trPr>
          <w:trHeight w:val="467"/>
        </w:trPr>
        <w:tc>
          <w:tcPr>
            <w:tcW w:w="5108" w:type="dxa"/>
            <w:vAlign w:val="center"/>
          </w:tcPr>
          <w:p w14:paraId="54A5883D" w14:textId="77777777" w:rsidR="0070385C" w:rsidRPr="004F2685" w:rsidRDefault="0070385C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Teplota vody [°C]</w:t>
            </w:r>
          </w:p>
        </w:tc>
        <w:tc>
          <w:tcPr>
            <w:tcW w:w="3383" w:type="dxa"/>
            <w:vAlign w:val="center"/>
          </w:tcPr>
          <w:p w14:paraId="6D685DAE" w14:textId="77777777" w:rsidR="0070385C" w:rsidRPr="004F2685" w:rsidRDefault="0070385C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max. 28</w:t>
            </w:r>
          </w:p>
        </w:tc>
      </w:tr>
      <w:tr w:rsidR="0070385C" w:rsidRPr="004F2685" w14:paraId="37B417D9" w14:textId="77777777" w:rsidTr="005F1233">
        <w:trPr>
          <w:trHeight w:val="664"/>
        </w:trPr>
        <w:tc>
          <w:tcPr>
            <w:tcW w:w="5108" w:type="dxa"/>
            <w:vAlign w:val="center"/>
          </w:tcPr>
          <w:p w14:paraId="1B4A853A" w14:textId="77777777" w:rsidR="0070385C" w:rsidRPr="004F2685" w:rsidRDefault="0070385C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Požadovaná doba zdržení [hod]</w:t>
            </w:r>
          </w:p>
          <w:p w14:paraId="14E5BC5E" w14:textId="77777777" w:rsidR="0070385C" w:rsidRPr="004F2685" w:rsidRDefault="0070385C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(dle vyhlášky 238/2011)</w:t>
            </w:r>
          </w:p>
        </w:tc>
        <w:tc>
          <w:tcPr>
            <w:tcW w:w="3383" w:type="dxa"/>
            <w:vAlign w:val="center"/>
          </w:tcPr>
          <w:p w14:paraId="4C7821C3" w14:textId="77777777" w:rsidR="0070385C" w:rsidRPr="004F2685" w:rsidRDefault="0070385C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1,0</w:t>
            </w:r>
          </w:p>
        </w:tc>
      </w:tr>
      <w:tr w:rsidR="0070385C" w:rsidRPr="004F2685" w14:paraId="7BDFD0F8" w14:textId="77777777" w:rsidTr="005F1233">
        <w:trPr>
          <w:trHeight w:val="703"/>
        </w:trPr>
        <w:tc>
          <w:tcPr>
            <w:tcW w:w="5108" w:type="dxa"/>
            <w:vAlign w:val="center"/>
          </w:tcPr>
          <w:p w14:paraId="1303A9CA" w14:textId="77777777" w:rsidR="0070385C" w:rsidRPr="004F2685" w:rsidRDefault="0070385C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Požadované recirkulované množství [m</w:t>
            </w:r>
            <w:r w:rsidRPr="004F2685">
              <w:rPr>
                <w:sz w:val="20"/>
                <w:vertAlign w:val="superscript"/>
              </w:rPr>
              <w:t>3</w:t>
            </w:r>
            <w:r w:rsidRPr="004F2685">
              <w:rPr>
                <w:sz w:val="20"/>
              </w:rPr>
              <w:t>/hod]</w:t>
            </w:r>
          </w:p>
          <w:p w14:paraId="0E956894" w14:textId="77777777" w:rsidR="0070385C" w:rsidRPr="004F2685" w:rsidRDefault="0070385C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 xml:space="preserve">(dle </w:t>
            </w:r>
            <w:proofErr w:type="gramStart"/>
            <w:r w:rsidRPr="004F2685">
              <w:rPr>
                <w:sz w:val="20"/>
              </w:rPr>
              <w:t>vyhlášky  238</w:t>
            </w:r>
            <w:proofErr w:type="gramEnd"/>
            <w:r w:rsidRPr="004F2685">
              <w:rPr>
                <w:sz w:val="20"/>
              </w:rPr>
              <w:t>/2011)</w:t>
            </w:r>
          </w:p>
        </w:tc>
        <w:tc>
          <w:tcPr>
            <w:tcW w:w="3383" w:type="dxa"/>
            <w:vAlign w:val="center"/>
          </w:tcPr>
          <w:p w14:paraId="14D9A01A" w14:textId="77777777" w:rsidR="0070385C" w:rsidRPr="004F2685" w:rsidRDefault="0070385C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66,00</w:t>
            </w:r>
          </w:p>
        </w:tc>
      </w:tr>
    </w:tbl>
    <w:p w14:paraId="3ECB3917" w14:textId="66D8DFEB" w:rsidR="0070385C" w:rsidRPr="004F2685" w:rsidRDefault="009D4344" w:rsidP="0070385C">
      <w:pPr>
        <w:pStyle w:val="KMnormal"/>
        <w:ind w:left="0"/>
        <w:rPr>
          <w:rFonts w:asciiTheme="minorHAnsi" w:hAnsiTheme="minorHAnsi"/>
          <w:b/>
          <w:sz w:val="22"/>
          <w:szCs w:val="24"/>
          <w:u w:val="single"/>
        </w:rPr>
      </w:pPr>
      <w:r w:rsidRPr="004F2685">
        <w:rPr>
          <w:rFonts w:asciiTheme="minorHAnsi" w:hAnsiTheme="minorHAnsi"/>
          <w:b/>
          <w:sz w:val="22"/>
          <w:szCs w:val="24"/>
          <w:u w:val="single"/>
        </w:rPr>
        <w:t>Navržené parametry technologických okruhů recirkulace vody:</w:t>
      </w:r>
    </w:p>
    <w:tbl>
      <w:tblPr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7"/>
        <w:gridCol w:w="3551"/>
      </w:tblGrid>
      <w:tr w:rsidR="00266F78" w:rsidRPr="004F2685" w14:paraId="57D6B146" w14:textId="77777777" w:rsidTr="005F1233">
        <w:trPr>
          <w:trHeight w:val="283"/>
        </w:trPr>
        <w:tc>
          <w:tcPr>
            <w:tcW w:w="4967" w:type="dxa"/>
            <w:vAlign w:val="center"/>
          </w:tcPr>
          <w:p w14:paraId="5D6323BB" w14:textId="77777777" w:rsidR="00266F78" w:rsidRPr="004F2685" w:rsidRDefault="00266F78" w:rsidP="005F123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4F2685">
              <w:rPr>
                <w:b/>
                <w:sz w:val="20"/>
              </w:rPr>
              <w:t>Parametr</w:t>
            </w:r>
          </w:p>
        </w:tc>
        <w:tc>
          <w:tcPr>
            <w:tcW w:w="3551" w:type="dxa"/>
            <w:vAlign w:val="center"/>
          </w:tcPr>
          <w:p w14:paraId="3F5E98DF" w14:textId="77777777" w:rsidR="00266F78" w:rsidRPr="004F2685" w:rsidRDefault="00266F78" w:rsidP="005F123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4F2685">
              <w:rPr>
                <w:b/>
                <w:sz w:val="20"/>
              </w:rPr>
              <w:t>OKRUH „B“</w:t>
            </w:r>
          </w:p>
          <w:p w14:paraId="2B1B77FB" w14:textId="77777777" w:rsidR="00266F78" w:rsidRPr="004F2685" w:rsidRDefault="00266F78" w:rsidP="005F1233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4F2685">
              <w:rPr>
                <w:b/>
                <w:sz w:val="20"/>
              </w:rPr>
              <w:t xml:space="preserve"> Venkovní brouzdaliště</w:t>
            </w:r>
          </w:p>
        </w:tc>
      </w:tr>
      <w:tr w:rsidR="00266F78" w:rsidRPr="004F2685" w14:paraId="2A6A43B1" w14:textId="77777777" w:rsidTr="005F1233">
        <w:trPr>
          <w:trHeight w:val="283"/>
        </w:trPr>
        <w:tc>
          <w:tcPr>
            <w:tcW w:w="4967" w:type="dxa"/>
            <w:vAlign w:val="center"/>
          </w:tcPr>
          <w:p w14:paraId="625BA325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proofErr w:type="gramStart"/>
            <w:r w:rsidRPr="004F2685">
              <w:rPr>
                <w:sz w:val="20"/>
              </w:rPr>
              <w:t>Filtr[</w:t>
            </w:r>
            <w:proofErr w:type="gramEnd"/>
            <w:r w:rsidRPr="004F2685">
              <w:rPr>
                <w:sz w:val="20"/>
              </w:rPr>
              <w:t>počet (ks) x průměr (mm)]</w:t>
            </w:r>
          </w:p>
        </w:tc>
        <w:tc>
          <w:tcPr>
            <w:tcW w:w="3551" w:type="dxa"/>
            <w:vAlign w:val="center"/>
          </w:tcPr>
          <w:p w14:paraId="708E9EAD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2 x 1200</w:t>
            </w:r>
          </w:p>
        </w:tc>
      </w:tr>
      <w:tr w:rsidR="00266F78" w:rsidRPr="004F2685" w14:paraId="034A9D13" w14:textId="77777777" w:rsidTr="005F1233">
        <w:trPr>
          <w:trHeight w:val="283"/>
        </w:trPr>
        <w:tc>
          <w:tcPr>
            <w:tcW w:w="4967" w:type="dxa"/>
            <w:vAlign w:val="center"/>
          </w:tcPr>
          <w:p w14:paraId="49B3A60E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Čerpadlo [počet (ks) x výkon (m</w:t>
            </w:r>
            <w:r w:rsidRPr="004F2685">
              <w:rPr>
                <w:sz w:val="20"/>
                <w:vertAlign w:val="superscript"/>
              </w:rPr>
              <w:t>3</w:t>
            </w:r>
            <w:r w:rsidRPr="004F2685">
              <w:rPr>
                <w:sz w:val="20"/>
              </w:rPr>
              <w:t>/hod) x příkon (kW)]</w:t>
            </w:r>
          </w:p>
        </w:tc>
        <w:tc>
          <w:tcPr>
            <w:tcW w:w="3551" w:type="dxa"/>
            <w:vAlign w:val="center"/>
          </w:tcPr>
          <w:p w14:paraId="0BF64F3D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2 x 49 x 3,0</w:t>
            </w:r>
          </w:p>
        </w:tc>
      </w:tr>
      <w:tr w:rsidR="00266F78" w:rsidRPr="004F2685" w14:paraId="1DD87FD8" w14:textId="77777777" w:rsidTr="005F1233">
        <w:trPr>
          <w:trHeight w:val="363"/>
        </w:trPr>
        <w:tc>
          <w:tcPr>
            <w:tcW w:w="4967" w:type="dxa"/>
            <w:vAlign w:val="center"/>
          </w:tcPr>
          <w:p w14:paraId="60788112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Skutečný recirkulační průtok</w:t>
            </w:r>
          </w:p>
          <w:p w14:paraId="09FC7EF7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 xml:space="preserve"> [m</w:t>
            </w:r>
            <w:r w:rsidRPr="004F2685">
              <w:rPr>
                <w:sz w:val="20"/>
                <w:vertAlign w:val="superscript"/>
              </w:rPr>
              <w:t>3</w:t>
            </w:r>
            <w:r w:rsidRPr="004F2685">
              <w:rPr>
                <w:sz w:val="20"/>
              </w:rPr>
              <w:t>/hod]</w:t>
            </w:r>
          </w:p>
        </w:tc>
        <w:tc>
          <w:tcPr>
            <w:tcW w:w="3551" w:type="dxa"/>
            <w:vAlign w:val="center"/>
          </w:tcPr>
          <w:p w14:paraId="369F71AB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 xml:space="preserve">70 </w:t>
            </w:r>
          </w:p>
        </w:tc>
      </w:tr>
      <w:tr w:rsidR="00266F78" w:rsidRPr="004F2685" w14:paraId="20484B25" w14:textId="77777777" w:rsidTr="005F1233">
        <w:trPr>
          <w:trHeight w:val="432"/>
        </w:trPr>
        <w:tc>
          <w:tcPr>
            <w:tcW w:w="4967" w:type="dxa"/>
            <w:vAlign w:val="center"/>
          </w:tcPr>
          <w:p w14:paraId="15AD4954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Skutečná doba zdržení [hod]</w:t>
            </w:r>
          </w:p>
        </w:tc>
        <w:tc>
          <w:tcPr>
            <w:tcW w:w="3551" w:type="dxa"/>
            <w:vAlign w:val="center"/>
          </w:tcPr>
          <w:p w14:paraId="33E2D669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0,93 (56 minut)</w:t>
            </w:r>
          </w:p>
        </w:tc>
      </w:tr>
      <w:tr w:rsidR="00266F78" w:rsidRPr="004F2685" w14:paraId="7CBAC798" w14:textId="77777777" w:rsidTr="005F1233">
        <w:trPr>
          <w:trHeight w:val="442"/>
        </w:trPr>
        <w:tc>
          <w:tcPr>
            <w:tcW w:w="4967" w:type="dxa"/>
            <w:vAlign w:val="center"/>
          </w:tcPr>
          <w:p w14:paraId="10778B7B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Skutečná filtrační rychlost [m3/hod/m2]</w:t>
            </w:r>
          </w:p>
        </w:tc>
        <w:tc>
          <w:tcPr>
            <w:tcW w:w="3551" w:type="dxa"/>
            <w:vAlign w:val="center"/>
          </w:tcPr>
          <w:p w14:paraId="552EBAA2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30,96</w:t>
            </w:r>
          </w:p>
        </w:tc>
      </w:tr>
      <w:tr w:rsidR="00266F78" w:rsidRPr="004F2685" w14:paraId="4D7E4980" w14:textId="77777777" w:rsidTr="005F1233">
        <w:trPr>
          <w:trHeight w:val="556"/>
        </w:trPr>
        <w:tc>
          <w:tcPr>
            <w:tcW w:w="4967" w:type="dxa"/>
            <w:vAlign w:val="center"/>
          </w:tcPr>
          <w:p w14:paraId="2487FDE5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Skutečná prací rychlost [m3/hod/m2]</w:t>
            </w:r>
          </w:p>
        </w:tc>
        <w:tc>
          <w:tcPr>
            <w:tcW w:w="3551" w:type="dxa"/>
            <w:vAlign w:val="center"/>
          </w:tcPr>
          <w:p w14:paraId="1023EE6B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58,39</w:t>
            </w:r>
          </w:p>
        </w:tc>
      </w:tr>
      <w:tr w:rsidR="00266F78" w:rsidRPr="004F2685" w14:paraId="7A6138D7" w14:textId="77777777" w:rsidTr="005F1233">
        <w:trPr>
          <w:trHeight w:val="556"/>
        </w:trPr>
        <w:tc>
          <w:tcPr>
            <w:tcW w:w="4967" w:type="dxa"/>
            <w:vAlign w:val="center"/>
          </w:tcPr>
          <w:p w14:paraId="00D68A0C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Minimální objem akumulační jímky [m</w:t>
            </w:r>
            <w:r w:rsidRPr="004F2685">
              <w:rPr>
                <w:sz w:val="20"/>
                <w:vertAlign w:val="superscript"/>
              </w:rPr>
              <w:t>3</w:t>
            </w:r>
            <w:r w:rsidRPr="004F2685">
              <w:rPr>
                <w:sz w:val="20"/>
              </w:rPr>
              <w:t>]</w:t>
            </w:r>
          </w:p>
        </w:tc>
        <w:tc>
          <w:tcPr>
            <w:tcW w:w="3551" w:type="dxa"/>
            <w:vAlign w:val="center"/>
          </w:tcPr>
          <w:p w14:paraId="417A99F8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 xml:space="preserve">aktivní objem </w:t>
            </w:r>
          </w:p>
          <w:p w14:paraId="17718DFF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 xml:space="preserve">12,312 m3 </w:t>
            </w:r>
          </w:p>
        </w:tc>
      </w:tr>
      <w:tr w:rsidR="00266F78" w:rsidRPr="004F2685" w14:paraId="4B197D41" w14:textId="77777777" w:rsidTr="005F1233">
        <w:trPr>
          <w:trHeight w:val="550"/>
        </w:trPr>
        <w:tc>
          <w:tcPr>
            <w:tcW w:w="4967" w:type="dxa"/>
            <w:vAlign w:val="center"/>
          </w:tcPr>
          <w:p w14:paraId="7ECE7BB3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Chemické hospodářství [způsob dezinfekce]</w:t>
            </w:r>
          </w:p>
        </w:tc>
        <w:tc>
          <w:tcPr>
            <w:tcW w:w="3551" w:type="dxa"/>
            <w:vAlign w:val="center"/>
          </w:tcPr>
          <w:p w14:paraId="526C7BEF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>• kapalný chlor</w:t>
            </w:r>
          </w:p>
          <w:p w14:paraId="26DB6E0C" w14:textId="77777777" w:rsidR="00266F78" w:rsidRPr="004F2685" w:rsidRDefault="00266F78" w:rsidP="005F1233">
            <w:pPr>
              <w:spacing w:after="0" w:line="240" w:lineRule="auto"/>
              <w:jc w:val="center"/>
              <w:rPr>
                <w:sz w:val="20"/>
              </w:rPr>
            </w:pPr>
            <w:r w:rsidRPr="004F2685">
              <w:rPr>
                <w:sz w:val="20"/>
              </w:rPr>
              <w:t xml:space="preserve"> • středotlaké UV záření</w:t>
            </w:r>
          </w:p>
        </w:tc>
      </w:tr>
    </w:tbl>
    <w:p w14:paraId="5127BDDC" w14:textId="1676A139" w:rsidR="001F3C8F" w:rsidRPr="004F2685" w:rsidRDefault="001F3C8F" w:rsidP="0070385C">
      <w:pPr>
        <w:pStyle w:val="KMnormal"/>
        <w:ind w:left="0"/>
      </w:pPr>
    </w:p>
    <w:p w14:paraId="7CAB7463" w14:textId="77777777" w:rsidR="009D3263" w:rsidRPr="004F2685" w:rsidRDefault="009D3263" w:rsidP="009D3263">
      <w:pPr>
        <w:pStyle w:val="KMnadpis2"/>
      </w:pPr>
      <w:bookmarkStart w:id="37" w:name="_Toc55326822"/>
      <w:r w:rsidRPr="004F2685">
        <w:t>Zásady požárně bezpečnostního řešení</w:t>
      </w:r>
      <w:bookmarkEnd w:id="37"/>
    </w:p>
    <w:p w14:paraId="589D0781" w14:textId="013DA413" w:rsidR="009D3263" w:rsidRPr="004F2685" w:rsidRDefault="00B808FF" w:rsidP="009D3263">
      <w:pPr>
        <w:pStyle w:val="KMnormal"/>
      </w:pPr>
      <w:r w:rsidRPr="004F2685">
        <w:t>PBŘ není pro stavbu vyžadováno</w:t>
      </w:r>
    </w:p>
    <w:p w14:paraId="1B35BE5A" w14:textId="77777777" w:rsidR="009D3263" w:rsidRPr="004F2685" w:rsidRDefault="009D3263" w:rsidP="009D3263">
      <w:pPr>
        <w:pStyle w:val="KMnadpis2"/>
      </w:pPr>
      <w:bookmarkStart w:id="38" w:name="_Toc55326823"/>
      <w:r w:rsidRPr="004F2685">
        <w:t>Úspora energie a tepelná ochrana</w:t>
      </w:r>
      <w:bookmarkEnd w:id="38"/>
    </w:p>
    <w:p w14:paraId="77D4380B" w14:textId="2B2093ED" w:rsidR="009D3263" w:rsidRPr="004F2685" w:rsidRDefault="00B808FF" w:rsidP="00A4274D">
      <w:pPr>
        <w:pStyle w:val="KMnormal"/>
      </w:pPr>
      <w:r w:rsidRPr="004F2685">
        <w:t>Neřeší se</w:t>
      </w:r>
    </w:p>
    <w:p w14:paraId="2376E46D" w14:textId="77777777" w:rsidR="009D3263" w:rsidRPr="004F2685" w:rsidRDefault="009D3263" w:rsidP="003441A6">
      <w:pPr>
        <w:pStyle w:val="KMnadpis2"/>
      </w:pPr>
      <w:bookmarkStart w:id="39" w:name="_Toc55326824"/>
      <w:r w:rsidRPr="004F2685">
        <w:t>Hygienické požadavky na stavby, požadavky na pracovní a komunální prostředí; zásady řešení parametrů stavby – větrání, vytápění, osvětlení, zásobování vodou, odpadů apod., dále zásady řešení vlivu stavby na okolí – vibrace, hluk, prašnost apod.</w:t>
      </w:r>
      <w:bookmarkEnd w:id="39"/>
    </w:p>
    <w:p w14:paraId="2325E8C4" w14:textId="314FA464" w:rsidR="009D3263" w:rsidRPr="004F2685" w:rsidRDefault="00B808FF" w:rsidP="00DB6A88">
      <w:pPr>
        <w:pStyle w:val="KMnormal"/>
        <w:jc w:val="both"/>
      </w:pPr>
      <w:r w:rsidRPr="004F2685">
        <w:t>Stavba nemá negativní vliv na zdraví obyvatel ani na životní prostředí. Navržená stavba vyhovuje všem hygienickým požadavkům na řešení dispozic, osvětlení, oslunění, zásobování vodou a energiemi.</w:t>
      </w:r>
      <w:r w:rsidR="00DB6A88" w:rsidRPr="004F2685">
        <w:t xml:space="preserve"> </w:t>
      </w:r>
      <w:r w:rsidRPr="004F2685">
        <w:t>Provozem stavby nebudou vznikat vibrace, nadměrný hluk nebo zvýšená prašnost</w:t>
      </w:r>
      <w:r w:rsidR="00DB6A88" w:rsidRPr="004F2685">
        <w:t xml:space="preserve">, </w:t>
      </w:r>
      <w:r w:rsidR="00DB6A88" w:rsidRPr="004F2685">
        <w:lastRenderedPageBreak/>
        <w:t xml:space="preserve">proto nebude mít zhoršující vliv na okolí. Stavba bude prováděna s maximální ohleduplností k okolí, hlučnost a prašnost bude omezena na minimum.  </w:t>
      </w:r>
    </w:p>
    <w:p w14:paraId="005F5F67" w14:textId="77777777" w:rsidR="00F340BA" w:rsidRPr="004F2685" w:rsidRDefault="009D3263" w:rsidP="00F340BA">
      <w:pPr>
        <w:pStyle w:val="KMnadpis2"/>
      </w:pPr>
      <w:bookmarkStart w:id="40" w:name="_Toc55326825"/>
      <w:r w:rsidRPr="004F2685">
        <w:t>Zásady ochrany stavby před negativními účinky vnějšího prostředí</w:t>
      </w:r>
      <w:bookmarkEnd w:id="40"/>
    </w:p>
    <w:p w14:paraId="65DBAEBC" w14:textId="77777777" w:rsidR="00F340BA" w:rsidRPr="004F2685" w:rsidRDefault="00F340BA" w:rsidP="00F340BA">
      <w:pPr>
        <w:pStyle w:val="KMnadpis3"/>
        <w:numPr>
          <w:ilvl w:val="0"/>
          <w:numId w:val="25"/>
        </w:numPr>
      </w:pPr>
      <w:r w:rsidRPr="004F2685">
        <w:t>Ochrana před pronikáním radonu z podloží</w:t>
      </w:r>
    </w:p>
    <w:p w14:paraId="37CB449B" w14:textId="2F0E725F" w:rsidR="009D3263" w:rsidRPr="004F2685" w:rsidRDefault="00A622E4" w:rsidP="009D3263">
      <w:pPr>
        <w:pStyle w:val="KMnormal"/>
      </w:pPr>
      <w:r w:rsidRPr="004F2685">
        <w:t>Vzhledem k charakteru stavby se radon neřeší.</w:t>
      </w:r>
    </w:p>
    <w:p w14:paraId="0C13BC2A" w14:textId="77777777" w:rsidR="00F340BA" w:rsidRPr="004F2685" w:rsidRDefault="00F340BA" w:rsidP="00F340BA">
      <w:pPr>
        <w:pStyle w:val="KMnadpis3"/>
        <w:numPr>
          <w:ilvl w:val="0"/>
          <w:numId w:val="25"/>
        </w:numPr>
      </w:pPr>
      <w:r w:rsidRPr="004F2685">
        <w:t>Ochrana před bludnými produkty</w:t>
      </w:r>
    </w:p>
    <w:p w14:paraId="6C26402B" w14:textId="45ABCB35" w:rsidR="00F340BA" w:rsidRPr="004F2685" w:rsidRDefault="00DB6A88" w:rsidP="009603A0">
      <w:pPr>
        <w:pStyle w:val="KMnormal"/>
      </w:pPr>
      <w:r w:rsidRPr="004F2685">
        <w:t>Výskyt bludných proudů se nepředpokládá.</w:t>
      </w:r>
    </w:p>
    <w:p w14:paraId="12789235" w14:textId="77777777" w:rsidR="00F340BA" w:rsidRPr="004F2685" w:rsidRDefault="00F340BA" w:rsidP="00F340BA">
      <w:pPr>
        <w:pStyle w:val="KMnadpis3"/>
        <w:numPr>
          <w:ilvl w:val="0"/>
          <w:numId w:val="25"/>
        </w:numPr>
      </w:pPr>
      <w:r w:rsidRPr="004F2685">
        <w:t>Ochrana před technickou seizmicitou</w:t>
      </w:r>
    </w:p>
    <w:p w14:paraId="368DB3FA" w14:textId="0E86914E" w:rsidR="00F340BA" w:rsidRPr="004F2685" w:rsidRDefault="00DB6A88" w:rsidP="00F47553">
      <w:pPr>
        <w:pStyle w:val="KMnormal"/>
        <w:jc w:val="both"/>
      </w:pPr>
      <w:r w:rsidRPr="004F2685">
        <w:t>Stavba se nenachází v </w:t>
      </w:r>
      <w:proofErr w:type="spellStart"/>
      <w:r w:rsidRPr="004F2685">
        <w:t>seismicky</w:t>
      </w:r>
      <w:proofErr w:type="spellEnd"/>
      <w:r w:rsidRPr="004F2685">
        <w:t xml:space="preserve"> aktivním pásmu. Zvolené technické řešení a mechanická odolnost stavby zaručí ochranu před technickou seismicitou.</w:t>
      </w:r>
    </w:p>
    <w:p w14:paraId="753E448D" w14:textId="77777777" w:rsidR="00F340BA" w:rsidRPr="004F2685" w:rsidRDefault="00F340BA" w:rsidP="00F340BA">
      <w:pPr>
        <w:pStyle w:val="KMnadpis3"/>
        <w:numPr>
          <w:ilvl w:val="0"/>
          <w:numId w:val="25"/>
        </w:numPr>
      </w:pPr>
      <w:r w:rsidRPr="004F2685">
        <w:t>Ochrana před hlukem</w:t>
      </w:r>
    </w:p>
    <w:p w14:paraId="70D8C10B" w14:textId="4B449C6D" w:rsidR="00F340BA" w:rsidRPr="004F2685" w:rsidRDefault="00DB6A88" w:rsidP="00DB6A88">
      <w:pPr>
        <w:pStyle w:val="KMnormal"/>
        <w:jc w:val="both"/>
      </w:pPr>
      <w:r w:rsidRPr="004F2685">
        <w:t>V okolí stavby nebyl zjištěn žádný zdroj hluku, který by negativně ovlivňoval objekt brouzdaliště. Brouzdaliště se nebude nacházet v hlukově zatíženém prostředí.</w:t>
      </w:r>
    </w:p>
    <w:p w14:paraId="4672AB85" w14:textId="77777777" w:rsidR="00F340BA" w:rsidRPr="004F2685" w:rsidRDefault="00F340BA" w:rsidP="00F340BA">
      <w:pPr>
        <w:pStyle w:val="KMnadpis3"/>
        <w:numPr>
          <w:ilvl w:val="0"/>
          <w:numId w:val="25"/>
        </w:numPr>
      </w:pPr>
      <w:r w:rsidRPr="004F2685">
        <w:t>Protipovodňová opatření</w:t>
      </w:r>
    </w:p>
    <w:p w14:paraId="382AF624" w14:textId="7FD6C6FE" w:rsidR="00F340BA" w:rsidRPr="004F2685" w:rsidRDefault="00DB6A88" w:rsidP="00DB6A88">
      <w:pPr>
        <w:pStyle w:val="KMnormal"/>
        <w:jc w:val="both"/>
      </w:pPr>
      <w:r w:rsidRPr="004F2685">
        <w:t>Území se nenachází v záplavovém území, není třeba řešit protipovodňová opatření.</w:t>
      </w:r>
    </w:p>
    <w:p w14:paraId="6331A156" w14:textId="77777777" w:rsidR="00F340BA" w:rsidRPr="004F2685" w:rsidRDefault="00F340BA" w:rsidP="00F340BA">
      <w:pPr>
        <w:pStyle w:val="KMnadpis3"/>
        <w:numPr>
          <w:ilvl w:val="0"/>
          <w:numId w:val="25"/>
        </w:numPr>
      </w:pPr>
      <w:r w:rsidRPr="004F2685">
        <w:t>Ostatní účinky – vliv poddolování, výskyt metanu apod.</w:t>
      </w:r>
    </w:p>
    <w:p w14:paraId="02074D6B" w14:textId="6623082F" w:rsidR="00F340BA" w:rsidRPr="004F2685" w:rsidRDefault="00DB6A88" w:rsidP="00F340BA">
      <w:pPr>
        <w:pStyle w:val="KMnormal"/>
      </w:pPr>
      <w:r w:rsidRPr="004F2685">
        <w:t xml:space="preserve">Nevyskytují se jiné negativní účinky. </w:t>
      </w:r>
    </w:p>
    <w:p w14:paraId="6D31A7EF" w14:textId="77777777" w:rsidR="007E757C" w:rsidRPr="004F2685" w:rsidRDefault="002A67FB" w:rsidP="006459C7">
      <w:pPr>
        <w:pStyle w:val="KMnadpis1"/>
      </w:pPr>
      <w:bookmarkStart w:id="41" w:name="_Toc55326826"/>
      <w:r w:rsidRPr="004F2685">
        <w:t>Připojení na technickou infrastrukturu</w:t>
      </w:r>
      <w:bookmarkEnd w:id="41"/>
    </w:p>
    <w:p w14:paraId="25046028" w14:textId="77777777" w:rsidR="002C4225" w:rsidRPr="004F2685" w:rsidRDefault="002C4225" w:rsidP="002C4225">
      <w:pPr>
        <w:pStyle w:val="KMnadpis3"/>
        <w:numPr>
          <w:ilvl w:val="0"/>
          <w:numId w:val="27"/>
        </w:numPr>
      </w:pPr>
      <w:r w:rsidRPr="004F2685">
        <w:t>Napojovací místa technické infrastruktury</w:t>
      </w:r>
      <w:r w:rsidR="00CE2DDF" w:rsidRPr="004F2685">
        <w:t>:</w:t>
      </w:r>
    </w:p>
    <w:p w14:paraId="33A227EC" w14:textId="77777777" w:rsidR="00DB6A88" w:rsidRPr="004F2685" w:rsidRDefault="00DB6A88" w:rsidP="00DE599E">
      <w:pPr>
        <w:pStyle w:val="KMnormal"/>
      </w:pPr>
      <w:r w:rsidRPr="004F2685">
        <w:t>Nová přípojka kanalizace d125 – PVC KG bude napojena na stávající šachtu na východě u vstupu do objektu zázemí koupaliště.</w:t>
      </w:r>
    </w:p>
    <w:p w14:paraId="33E9B154" w14:textId="6592DA14" w:rsidR="009E7E37" w:rsidRPr="004F2685" w:rsidRDefault="00DB6A88" w:rsidP="00DE599E">
      <w:pPr>
        <w:pStyle w:val="KMnormal"/>
      </w:pPr>
      <w:r w:rsidRPr="004F2685">
        <w:t>Nová přípojka pitné vody bude napojena ze stávajícího objektu zázemí koupaliště. Rozvod pitné vody je navržen z</w:t>
      </w:r>
      <w:r w:rsidR="006E7B61" w:rsidRPr="004F2685">
        <w:t> </w:t>
      </w:r>
      <w:r w:rsidRPr="004F2685">
        <w:t>trubek</w:t>
      </w:r>
      <w:r w:rsidR="006E7B61" w:rsidRPr="004F2685">
        <w:t xml:space="preserve"> tlakových PE100 tř. SDR11 v dimenzi 63x5,8.</w:t>
      </w:r>
      <w:r w:rsidRPr="004F2685">
        <w:t xml:space="preserve">  </w:t>
      </w:r>
    </w:p>
    <w:p w14:paraId="4DC52FE5" w14:textId="2037A000" w:rsidR="006E7B61" w:rsidRPr="004F2685" w:rsidRDefault="006E7B61" w:rsidP="00B54AF7">
      <w:pPr>
        <w:pStyle w:val="KMnormal"/>
        <w:jc w:val="both"/>
      </w:pPr>
      <w:r w:rsidRPr="004F2685">
        <w:t xml:space="preserve">Bude provedeno nové napájecí vedení zemním kabelem z elektroměrového rozváděče do rozváděče R1 umístěného v hlavní budově, v místnosti 1.21. </w:t>
      </w:r>
    </w:p>
    <w:p w14:paraId="2744B258" w14:textId="77777777" w:rsidR="002C4225" w:rsidRPr="004F2685" w:rsidRDefault="002C4225" w:rsidP="002C4225">
      <w:pPr>
        <w:pStyle w:val="KMnadpis3"/>
        <w:numPr>
          <w:ilvl w:val="0"/>
          <w:numId w:val="27"/>
        </w:numPr>
      </w:pPr>
      <w:r w:rsidRPr="004F2685">
        <w:t>Připojovací rozměry, výkopové kapacity a délky</w:t>
      </w:r>
      <w:r w:rsidR="00CE2DDF" w:rsidRPr="004F2685">
        <w:t>:</w:t>
      </w:r>
    </w:p>
    <w:p w14:paraId="117A90BF" w14:textId="4E747C93" w:rsidR="00264FFE" w:rsidRPr="004F2685" w:rsidRDefault="00F50788" w:rsidP="00264FFE">
      <w:pPr>
        <w:pStyle w:val="KMnormal"/>
      </w:pPr>
      <w:r w:rsidRPr="004F2685">
        <w:t>Areálová k</w:t>
      </w:r>
      <w:r w:rsidR="00B54AF7" w:rsidRPr="004F2685">
        <w:t>analizace</w:t>
      </w:r>
      <w:r w:rsidRPr="004F2685">
        <w:t xml:space="preserve"> SO </w:t>
      </w:r>
      <w:r w:rsidR="00912E02" w:rsidRPr="004F2685">
        <w:t>06 je navržena v</w:t>
      </w:r>
      <w:r w:rsidR="005E33BC" w:rsidRPr="004F2685">
        <w:t> </w:t>
      </w:r>
      <w:r w:rsidR="00B54AF7" w:rsidRPr="004F2685">
        <w:t>dél</w:t>
      </w:r>
      <w:r w:rsidR="00912E02" w:rsidRPr="004F2685">
        <w:t>ce</w:t>
      </w:r>
      <w:r w:rsidR="005E33BC" w:rsidRPr="004F2685">
        <w:t xml:space="preserve"> 97,5</w:t>
      </w:r>
      <w:r w:rsidR="008F5BD4" w:rsidRPr="004F2685">
        <w:t xml:space="preserve"> m</w:t>
      </w:r>
    </w:p>
    <w:p w14:paraId="7A206C01" w14:textId="6AE849F5" w:rsidR="00B54AF7" w:rsidRPr="004F2685" w:rsidRDefault="004B3608" w:rsidP="00264FFE">
      <w:pPr>
        <w:pStyle w:val="KMnormal"/>
      </w:pPr>
      <w:r w:rsidRPr="004F2685">
        <w:t>Areálová p</w:t>
      </w:r>
      <w:r w:rsidR="00B54AF7" w:rsidRPr="004F2685">
        <w:t>itná voda</w:t>
      </w:r>
      <w:r w:rsidR="00745312" w:rsidRPr="004F2685">
        <w:t xml:space="preserve"> je navržena v délce</w:t>
      </w:r>
      <w:r w:rsidR="00DE7FCA" w:rsidRPr="004F2685">
        <w:t xml:space="preserve"> 140 m</w:t>
      </w:r>
    </w:p>
    <w:p w14:paraId="10F6DAF3" w14:textId="008CB137" w:rsidR="00B54AF7" w:rsidRPr="004F2685" w:rsidRDefault="00745312" w:rsidP="00264FFE">
      <w:pPr>
        <w:pStyle w:val="KMnormal"/>
      </w:pPr>
      <w:r w:rsidRPr="004F2685">
        <w:t>Areálové e</w:t>
      </w:r>
      <w:r w:rsidR="00B54AF7" w:rsidRPr="004F2685">
        <w:t>lektro</w:t>
      </w:r>
      <w:r w:rsidRPr="004F2685">
        <w:t xml:space="preserve"> je navrženo v délce 122 m</w:t>
      </w:r>
    </w:p>
    <w:p w14:paraId="260F9A66" w14:textId="77777777" w:rsidR="002A67FB" w:rsidRPr="004F2685" w:rsidRDefault="002A67FB" w:rsidP="002A67FB">
      <w:pPr>
        <w:pStyle w:val="KMnadpis1"/>
      </w:pPr>
      <w:bookmarkStart w:id="42" w:name="_Toc55326827"/>
      <w:r w:rsidRPr="004F2685">
        <w:lastRenderedPageBreak/>
        <w:t>Dopravní řešení</w:t>
      </w:r>
      <w:bookmarkEnd w:id="42"/>
    </w:p>
    <w:p w14:paraId="3FA2F892" w14:textId="77777777" w:rsidR="00985928" w:rsidRPr="004F2685" w:rsidRDefault="00985928" w:rsidP="002C4225">
      <w:pPr>
        <w:pStyle w:val="KMnadpis3"/>
        <w:numPr>
          <w:ilvl w:val="0"/>
          <w:numId w:val="30"/>
        </w:numPr>
      </w:pPr>
      <w:r w:rsidRPr="004F2685">
        <w:t>Popis dopravního řešení včetně bezbariérových opatření pro přístupnost a užívání stavby osobami se sníženou schopností pohybu nebo orientace</w:t>
      </w:r>
      <w:r w:rsidR="009B79EC" w:rsidRPr="004F2685">
        <w:t>:</w:t>
      </w:r>
    </w:p>
    <w:p w14:paraId="6A26D7BF" w14:textId="3B5625BD" w:rsidR="00441F44" w:rsidRPr="004F2685" w:rsidRDefault="00ED7C43" w:rsidP="00441F44">
      <w:pPr>
        <w:pStyle w:val="KMnormal"/>
      </w:pPr>
      <w:r w:rsidRPr="004F2685">
        <w:t>Přístup k brouzdališti je řešen bez</w:t>
      </w:r>
      <w:r w:rsidR="00DA5EF0" w:rsidRPr="004F2685">
        <w:t>bariérově.</w:t>
      </w:r>
    </w:p>
    <w:p w14:paraId="6F2FAB00" w14:textId="77777777" w:rsidR="00985928" w:rsidRPr="004F2685" w:rsidRDefault="00985928" w:rsidP="002C4225">
      <w:pPr>
        <w:pStyle w:val="KMnadpis3"/>
        <w:numPr>
          <w:ilvl w:val="0"/>
          <w:numId w:val="30"/>
        </w:numPr>
      </w:pPr>
      <w:r w:rsidRPr="004F2685">
        <w:t>Napojení území na stávající dopravní infrastrukturu</w:t>
      </w:r>
      <w:r w:rsidR="009B79EC" w:rsidRPr="004F2685">
        <w:t>:</w:t>
      </w:r>
    </w:p>
    <w:p w14:paraId="12C01F6E" w14:textId="073EE9FA" w:rsidR="00441F44" w:rsidRPr="004F2685" w:rsidRDefault="00B54AF7" w:rsidP="00441F44">
      <w:pPr>
        <w:pStyle w:val="KMnormal"/>
      </w:pPr>
      <w:r w:rsidRPr="004F2685">
        <w:t>Nemění se.</w:t>
      </w:r>
    </w:p>
    <w:p w14:paraId="6F827F52" w14:textId="77777777" w:rsidR="009B79EC" w:rsidRPr="004F2685" w:rsidRDefault="009B79EC" w:rsidP="002C4225">
      <w:pPr>
        <w:pStyle w:val="KMnadpis3"/>
        <w:numPr>
          <w:ilvl w:val="0"/>
          <w:numId w:val="30"/>
        </w:numPr>
      </w:pPr>
      <w:r w:rsidRPr="004F2685">
        <w:t>Doprava v klidu:</w:t>
      </w:r>
    </w:p>
    <w:p w14:paraId="7C5B6E1D" w14:textId="685AB042" w:rsidR="00441F44" w:rsidRPr="004F2685" w:rsidRDefault="00B54AF7" w:rsidP="00441F44">
      <w:pPr>
        <w:pStyle w:val="KMnormal"/>
      </w:pPr>
      <w:r w:rsidRPr="004F2685">
        <w:t>Nemění se.</w:t>
      </w:r>
    </w:p>
    <w:p w14:paraId="5A9C3C27" w14:textId="77777777" w:rsidR="009B79EC" w:rsidRPr="004F2685" w:rsidRDefault="009B79EC" w:rsidP="002C4225">
      <w:pPr>
        <w:pStyle w:val="KMnadpis3"/>
        <w:numPr>
          <w:ilvl w:val="0"/>
          <w:numId w:val="30"/>
        </w:numPr>
      </w:pPr>
      <w:r w:rsidRPr="004F2685">
        <w:t>Pěší a cyklistické stezky:</w:t>
      </w:r>
    </w:p>
    <w:p w14:paraId="36BC9A7B" w14:textId="307F4BB6" w:rsidR="00441F44" w:rsidRPr="004F2685" w:rsidRDefault="00376F0C" w:rsidP="00441F44">
      <w:pPr>
        <w:pStyle w:val="KMnormal"/>
      </w:pPr>
      <w:r w:rsidRPr="004F2685">
        <w:t>Přes areál nevedou</w:t>
      </w:r>
      <w:r w:rsidR="00B54AF7" w:rsidRPr="004F2685">
        <w:t xml:space="preserve"> žádné cyklistické stezky.</w:t>
      </w:r>
    </w:p>
    <w:p w14:paraId="7C7F3340" w14:textId="77777777" w:rsidR="002A67FB" w:rsidRPr="004F2685" w:rsidRDefault="002A67FB" w:rsidP="002A67FB">
      <w:pPr>
        <w:pStyle w:val="KMnadpis1"/>
      </w:pPr>
      <w:bookmarkStart w:id="43" w:name="_Toc55326828"/>
      <w:r w:rsidRPr="004F2685">
        <w:t>Řešení vegetace a souvisejících terénních úprav</w:t>
      </w:r>
      <w:bookmarkEnd w:id="43"/>
      <w:r w:rsidRPr="004F2685">
        <w:t xml:space="preserve"> </w:t>
      </w:r>
    </w:p>
    <w:p w14:paraId="36DE24E6" w14:textId="77777777" w:rsidR="00330826" w:rsidRPr="004F2685" w:rsidRDefault="00330826" w:rsidP="00330826">
      <w:pPr>
        <w:pStyle w:val="KMnadpis3"/>
        <w:numPr>
          <w:ilvl w:val="0"/>
          <w:numId w:val="35"/>
        </w:numPr>
      </w:pPr>
      <w:r w:rsidRPr="004F2685">
        <w:t>Terénní úpravy:</w:t>
      </w:r>
    </w:p>
    <w:p w14:paraId="033A4EC5" w14:textId="490703A3" w:rsidR="00441F44" w:rsidRPr="004F2685" w:rsidRDefault="00B54AF7" w:rsidP="00441F44">
      <w:pPr>
        <w:pStyle w:val="KMnormal"/>
      </w:pPr>
      <w:r w:rsidRPr="004F2685">
        <w:t>Terénní úpravy jsou součástí SO 03 zpevněné plochy.</w:t>
      </w:r>
    </w:p>
    <w:p w14:paraId="6EEC8C6B" w14:textId="77777777" w:rsidR="00330826" w:rsidRPr="004F2685" w:rsidRDefault="00330826" w:rsidP="00330826">
      <w:pPr>
        <w:pStyle w:val="KMnadpis3"/>
        <w:numPr>
          <w:ilvl w:val="0"/>
          <w:numId w:val="35"/>
        </w:numPr>
      </w:pPr>
      <w:r w:rsidRPr="004F2685">
        <w:t>Použité vegetační prvky:</w:t>
      </w:r>
    </w:p>
    <w:p w14:paraId="03D3CF33" w14:textId="50EFCB4C" w:rsidR="00441F44" w:rsidRPr="004F2685" w:rsidRDefault="00B54AF7" w:rsidP="00441F44">
      <w:pPr>
        <w:pStyle w:val="KMnormal"/>
      </w:pPr>
      <w:r w:rsidRPr="004F2685">
        <w:t>Neřeší se.</w:t>
      </w:r>
    </w:p>
    <w:p w14:paraId="6FC09856" w14:textId="77777777" w:rsidR="00330826" w:rsidRPr="004F2685" w:rsidRDefault="00330826" w:rsidP="00330826">
      <w:pPr>
        <w:pStyle w:val="KMnadpis3"/>
        <w:numPr>
          <w:ilvl w:val="0"/>
          <w:numId w:val="35"/>
        </w:numPr>
      </w:pPr>
      <w:r w:rsidRPr="004F2685">
        <w:t>Biochemická opatření:</w:t>
      </w:r>
    </w:p>
    <w:p w14:paraId="4AA12004" w14:textId="17DD941D" w:rsidR="00441F44" w:rsidRPr="004F2685" w:rsidRDefault="00B54AF7" w:rsidP="00441F44">
      <w:pPr>
        <w:pStyle w:val="KMnormal"/>
      </w:pPr>
      <w:r w:rsidRPr="004F2685">
        <w:t>Neřeší se.</w:t>
      </w:r>
    </w:p>
    <w:p w14:paraId="22560E33" w14:textId="77777777" w:rsidR="002A67FB" w:rsidRPr="004F2685" w:rsidRDefault="002A67FB" w:rsidP="002A67FB">
      <w:pPr>
        <w:pStyle w:val="KMnadpis1"/>
      </w:pPr>
      <w:bookmarkStart w:id="44" w:name="_Toc55326829"/>
      <w:r w:rsidRPr="004F2685">
        <w:t>Popis vlivů stavby na životní prostředí a jeho ochrana</w:t>
      </w:r>
      <w:bookmarkEnd w:id="44"/>
    </w:p>
    <w:p w14:paraId="5A6B7EB6" w14:textId="77777777" w:rsidR="00441F44" w:rsidRPr="004F2685" w:rsidRDefault="00441F44" w:rsidP="00441F44">
      <w:pPr>
        <w:pStyle w:val="KMnadpis3"/>
        <w:numPr>
          <w:ilvl w:val="0"/>
          <w:numId w:val="37"/>
        </w:numPr>
      </w:pPr>
      <w:r w:rsidRPr="004F2685">
        <w:t>Vliv na životní prostředí – ovzduší, hluk, voda, odpady a půda:</w:t>
      </w:r>
    </w:p>
    <w:p w14:paraId="68E8F131" w14:textId="2ECBA67F" w:rsidR="00247776" w:rsidRPr="004F2685" w:rsidRDefault="00B54AF7" w:rsidP="00F037AA">
      <w:pPr>
        <w:pStyle w:val="KMnormal"/>
        <w:jc w:val="both"/>
      </w:pPr>
      <w:r w:rsidRPr="004F2685">
        <w:t xml:space="preserve">Stavba nebude mít zhoršující vliv na životní prostředí. Dodavatel stavby je povinen při provádění stavby provádět opatření vedoucí ke snížení prašnosti a hlučnosti stavebních prací sv souladu s platnými předpisy a požadavky investora na zajištění provozu investora. Ochrana proti hluku během provádění stavby musí být součástí technologického postupu dodavatele zpracovaného před zahájením prací. Během prací musí být </w:t>
      </w:r>
      <w:r w:rsidR="00F037AA" w:rsidRPr="004F2685">
        <w:t>provedena opatření ke snížení hlučnosti a prašnosti stavby.</w:t>
      </w:r>
    </w:p>
    <w:p w14:paraId="4B79E647" w14:textId="77777777" w:rsidR="00441F44" w:rsidRPr="004F2685" w:rsidRDefault="00441F44" w:rsidP="00441F44">
      <w:pPr>
        <w:pStyle w:val="KMnadpis3"/>
        <w:numPr>
          <w:ilvl w:val="0"/>
          <w:numId w:val="37"/>
        </w:numPr>
      </w:pPr>
      <w:r w:rsidRPr="004F2685">
        <w:t>Vliv na přírodu a krajinu – ochrana dřevin, ochrana památkových stromů, ochrana rostlin a živočichů, zachování ekologických funkcí a vazeb v krajině apod.:</w:t>
      </w:r>
    </w:p>
    <w:p w14:paraId="1E8406D7" w14:textId="626D2B3C" w:rsidR="00247776" w:rsidRPr="004F2685" w:rsidRDefault="00F037AA" w:rsidP="00F037AA">
      <w:pPr>
        <w:pStyle w:val="KMnormal"/>
        <w:jc w:val="both"/>
      </w:pPr>
      <w:r w:rsidRPr="004F2685">
        <w:t xml:space="preserve">Stavba na řešeném území nemá negativní vliv na přírodu a krajinu. Nedojde ke kácení dřevin. </w:t>
      </w:r>
    </w:p>
    <w:p w14:paraId="4A071FCD" w14:textId="77777777" w:rsidR="00441F44" w:rsidRPr="004F2685" w:rsidRDefault="00441F44" w:rsidP="00441F44">
      <w:pPr>
        <w:pStyle w:val="KMnadpis3"/>
        <w:numPr>
          <w:ilvl w:val="0"/>
          <w:numId w:val="37"/>
        </w:numPr>
      </w:pPr>
      <w:r w:rsidRPr="004F2685">
        <w:t>Vliv na soustavu chráněných území Natura 2000:</w:t>
      </w:r>
    </w:p>
    <w:p w14:paraId="0E5BD012" w14:textId="443F3119" w:rsidR="00247776" w:rsidRPr="004F2685" w:rsidRDefault="00F037AA" w:rsidP="00247776">
      <w:pPr>
        <w:pStyle w:val="KMnormal"/>
      </w:pPr>
      <w:r w:rsidRPr="004F2685">
        <w:t>Stavba nemá vliv na soustavu chráněných území Natura 2000.</w:t>
      </w:r>
    </w:p>
    <w:p w14:paraId="7349F8C9" w14:textId="77777777" w:rsidR="00441F44" w:rsidRPr="004F2685" w:rsidRDefault="00441F44" w:rsidP="00441F44">
      <w:pPr>
        <w:pStyle w:val="KMnadpis3"/>
        <w:numPr>
          <w:ilvl w:val="0"/>
          <w:numId w:val="37"/>
        </w:numPr>
      </w:pPr>
      <w:r w:rsidRPr="004F2685">
        <w:lastRenderedPageBreak/>
        <w:t>Způsob zohlednění podmínek závazného stanoviska posouzení vlivu záměru na životní prostředí, je-li podkladem:</w:t>
      </w:r>
    </w:p>
    <w:p w14:paraId="77DA2456" w14:textId="77792078" w:rsidR="00247776" w:rsidRPr="004F2685" w:rsidRDefault="00F037AA" w:rsidP="00247776">
      <w:pPr>
        <w:pStyle w:val="KMnormal"/>
      </w:pPr>
      <w:r w:rsidRPr="004F2685">
        <w:t>Netýká se.</w:t>
      </w:r>
    </w:p>
    <w:p w14:paraId="06B0F80C" w14:textId="77777777" w:rsidR="00441F44" w:rsidRPr="004F2685" w:rsidRDefault="00441F44" w:rsidP="00441F44">
      <w:pPr>
        <w:pStyle w:val="KMnadpis3"/>
        <w:numPr>
          <w:ilvl w:val="0"/>
          <w:numId w:val="37"/>
        </w:numPr>
      </w:pPr>
      <w:r w:rsidRPr="004F2685">
        <w:t>V případě záměrů spadajících do režimu zákona o integrované prevenci základní parametry způsobu naplnění závěrů o nejlepších dostupných technikách nebo integrované povolení, bylo-li vydáno:</w:t>
      </w:r>
    </w:p>
    <w:p w14:paraId="4E28A120" w14:textId="2DE0869A" w:rsidR="00247776" w:rsidRPr="004F2685" w:rsidRDefault="00F037AA" w:rsidP="00247776">
      <w:pPr>
        <w:pStyle w:val="KMnormal"/>
      </w:pPr>
      <w:r w:rsidRPr="004F2685">
        <w:t>Netýká se.</w:t>
      </w:r>
    </w:p>
    <w:p w14:paraId="07BA2E62" w14:textId="77777777" w:rsidR="00441F44" w:rsidRPr="004F2685" w:rsidRDefault="00441F44" w:rsidP="00441F44">
      <w:pPr>
        <w:pStyle w:val="KMnadpis3"/>
        <w:numPr>
          <w:ilvl w:val="0"/>
          <w:numId w:val="37"/>
        </w:numPr>
      </w:pPr>
      <w:r w:rsidRPr="004F2685">
        <w:t>Navrhovaná ochranná a bezpečnostní pásma, rozsah omezení a podmínky ochrany podle jiných právních předpisů:</w:t>
      </w:r>
    </w:p>
    <w:p w14:paraId="0C920C58" w14:textId="71155D1B" w:rsidR="00404AAB" w:rsidRPr="004F2685" w:rsidRDefault="00F037AA" w:rsidP="00247776">
      <w:pPr>
        <w:pStyle w:val="KMnormal"/>
      </w:pPr>
      <w:r w:rsidRPr="004F2685">
        <w:t>Nejsou navrhovaná žádná bezpečnostní pásma ani omezení.</w:t>
      </w:r>
    </w:p>
    <w:p w14:paraId="59F03BEC" w14:textId="77777777" w:rsidR="002A67FB" w:rsidRPr="004F2685" w:rsidRDefault="002A67FB" w:rsidP="002A67FB">
      <w:pPr>
        <w:pStyle w:val="KMnadpis1"/>
      </w:pPr>
      <w:bookmarkStart w:id="45" w:name="_Toc55326830"/>
      <w:r w:rsidRPr="004F2685">
        <w:t>Ochrana obyvatelstva</w:t>
      </w:r>
      <w:bookmarkEnd w:id="45"/>
    </w:p>
    <w:p w14:paraId="7037B029" w14:textId="2E07E510" w:rsidR="001D2117" w:rsidRPr="004F2685" w:rsidRDefault="00F037AA" w:rsidP="001D2117">
      <w:pPr>
        <w:pStyle w:val="KMnormal"/>
        <w:ind w:left="708"/>
      </w:pPr>
      <w:r w:rsidRPr="004F2685">
        <w:t>Stavba není primárně určena k ochraně obyvatelstva z hlediska civilní obrany.</w:t>
      </w:r>
    </w:p>
    <w:p w14:paraId="236E1686" w14:textId="77777777" w:rsidR="002A67FB" w:rsidRPr="004F2685" w:rsidRDefault="002A67FB" w:rsidP="002A67FB">
      <w:pPr>
        <w:pStyle w:val="KMnadpis1"/>
      </w:pPr>
      <w:bookmarkStart w:id="46" w:name="_Toc55326831"/>
      <w:r w:rsidRPr="004F2685">
        <w:t>Zásady organizace výstavby</w:t>
      </w:r>
      <w:bookmarkEnd w:id="46"/>
    </w:p>
    <w:p w14:paraId="5162CF72" w14:textId="77777777" w:rsidR="00247776" w:rsidRPr="004F2685" w:rsidRDefault="00247776" w:rsidP="00247776">
      <w:pPr>
        <w:pStyle w:val="KMnadpis3"/>
        <w:numPr>
          <w:ilvl w:val="0"/>
          <w:numId w:val="39"/>
        </w:numPr>
      </w:pPr>
      <w:r w:rsidRPr="004F2685">
        <w:t>Potřeby a spotřeby rozhodujících médií a hmot, jejich zajištění:</w:t>
      </w:r>
    </w:p>
    <w:p w14:paraId="56BD2E2A" w14:textId="6B3F0EF8" w:rsidR="00D76AEF" w:rsidRPr="004F2685" w:rsidRDefault="00F037AA" w:rsidP="00D76AEF">
      <w:pPr>
        <w:pStyle w:val="KMnormal"/>
      </w:pPr>
      <w:r w:rsidRPr="004F2685">
        <w:t>Pitná voda:</w:t>
      </w:r>
      <w:r w:rsidR="00180526" w:rsidRPr="004F2685">
        <w:t xml:space="preserve"> </w:t>
      </w:r>
    </w:p>
    <w:p w14:paraId="61CDA26E" w14:textId="425DA355" w:rsidR="005D0D4C" w:rsidRPr="004F2685" w:rsidRDefault="005D0D4C" w:rsidP="00D76AEF">
      <w:pPr>
        <w:pStyle w:val="KMnormal"/>
      </w:pPr>
      <w:r w:rsidRPr="004F2685">
        <w:t xml:space="preserve">Bude </w:t>
      </w:r>
      <w:r w:rsidR="00D77DA8" w:rsidRPr="004F2685">
        <w:t>napojena ze stávající</w:t>
      </w:r>
      <w:r w:rsidR="00501AC7" w:rsidRPr="004F2685">
        <w:t>ch</w:t>
      </w:r>
      <w:r w:rsidR="00EF4B30" w:rsidRPr="004F2685">
        <w:t xml:space="preserve"> areál</w:t>
      </w:r>
      <w:r w:rsidR="00850A3F" w:rsidRPr="004F2685">
        <w:t>ových</w:t>
      </w:r>
      <w:r w:rsidR="00501AC7" w:rsidRPr="004F2685">
        <w:t xml:space="preserve"> rozvodů</w:t>
      </w:r>
      <w:r w:rsidR="00850A3F" w:rsidRPr="004F2685">
        <w:t>. Zhotovitel zajistí měření spotřeby.</w:t>
      </w:r>
    </w:p>
    <w:p w14:paraId="3B305197" w14:textId="23076931" w:rsidR="00F037AA" w:rsidRPr="004F2685" w:rsidRDefault="00F037AA" w:rsidP="00D76AEF">
      <w:pPr>
        <w:pStyle w:val="KMnormal"/>
      </w:pPr>
      <w:r w:rsidRPr="004F2685">
        <w:t>El. energie</w:t>
      </w:r>
      <w:r w:rsidR="00850A3F" w:rsidRPr="004F2685">
        <w:t>:</w:t>
      </w:r>
    </w:p>
    <w:p w14:paraId="3FECB0B3" w14:textId="45B830B8" w:rsidR="00850A3F" w:rsidRPr="004F2685" w:rsidRDefault="00850A3F" w:rsidP="00850A3F">
      <w:pPr>
        <w:pStyle w:val="KMnormal"/>
      </w:pPr>
      <w:r w:rsidRPr="004F2685">
        <w:t>Bude napojena ze stávajících areálových rozvodů. Zhotovitel zajistí měření spotřeby.</w:t>
      </w:r>
    </w:p>
    <w:p w14:paraId="32A0F4B9" w14:textId="77777777" w:rsidR="00247776" w:rsidRPr="004F2685" w:rsidRDefault="00D76AEF" w:rsidP="00247776">
      <w:pPr>
        <w:pStyle w:val="KMnadpis3"/>
        <w:numPr>
          <w:ilvl w:val="0"/>
          <w:numId w:val="39"/>
        </w:numPr>
      </w:pPr>
      <w:r w:rsidRPr="004F2685">
        <w:t>Odvodnění staveniště:</w:t>
      </w:r>
    </w:p>
    <w:p w14:paraId="63D93386" w14:textId="70F39476" w:rsidR="00D76AEF" w:rsidRPr="004F2685" w:rsidRDefault="00F037AA" w:rsidP="00D76AEF">
      <w:pPr>
        <w:pStyle w:val="KMnormal"/>
      </w:pPr>
      <w:r w:rsidRPr="004F2685">
        <w:t xml:space="preserve">Staveniště bude odvodněna do stávající zeleně. </w:t>
      </w:r>
    </w:p>
    <w:p w14:paraId="1E9A7F1D" w14:textId="77777777" w:rsidR="00D76AEF" w:rsidRPr="004F2685" w:rsidRDefault="00D76AEF" w:rsidP="00247776">
      <w:pPr>
        <w:pStyle w:val="KMnadpis3"/>
        <w:numPr>
          <w:ilvl w:val="0"/>
          <w:numId w:val="39"/>
        </w:numPr>
      </w:pPr>
      <w:r w:rsidRPr="004F2685">
        <w:t>Napojení staveniště na stávající dopravní a technickou infrastrukturu:</w:t>
      </w:r>
    </w:p>
    <w:p w14:paraId="280B3070" w14:textId="5FF2096A" w:rsidR="00D76AEF" w:rsidRPr="004F2685" w:rsidRDefault="000F5791" w:rsidP="00D76AEF">
      <w:pPr>
        <w:pStyle w:val="KMnormal"/>
      </w:pPr>
      <w:r w:rsidRPr="004F2685">
        <w:t xml:space="preserve">Bude </w:t>
      </w:r>
      <w:r w:rsidR="00097DD5" w:rsidRPr="004F2685">
        <w:t>využit st</w:t>
      </w:r>
      <w:r w:rsidR="00093BE2" w:rsidRPr="004F2685">
        <w:t>ávající výjezd z areálu.</w:t>
      </w:r>
    </w:p>
    <w:p w14:paraId="504DF54E" w14:textId="77777777" w:rsidR="00D76AEF" w:rsidRPr="004F2685" w:rsidRDefault="00D76AEF" w:rsidP="00247776">
      <w:pPr>
        <w:pStyle w:val="KMnadpis3"/>
        <w:numPr>
          <w:ilvl w:val="0"/>
          <w:numId w:val="39"/>
        </w:numPr>
      </w:pPr>
      <w:r w:rsidRPr="004F2685">
        <w:t>Vliv provádění stavby na okolní stavby a pozemky:</w:t>
      </w:r>
    </w:p>
    <w:p w14:paraId="59C88927" w14:textId="21F240C3" w:rsidR="00D76AEF" w:rsidRPr="004F2685" w:rsidRDefault="00F037AA" w:rsidP="004C77AF">
      <w:pPr>
        <w:pStyle w:val="KMnormal"/>
        <w:jc w:val="both"/>
      </w:pPr>
      <w:r w:rsidRPr="004F2685">
        <w:t>Provádění st</w:t>
      </w:r>
      <w:r w:rsidR="004C77AF" w:rsidRPr="004F2685">
        <w:t>a</w:t>
      </w:r>
      <w:r w:rsidRPr="004F2685">
        <w:t xml:space="preserve">vby nebude mít </w:t>
      </w:r>
      <w:r w:rsidR="004C77AF" w:rsidRPr="004F2685">
        <w:t xml:space="preserve">negativní </w:t>
      </w:r>
      <w:r w:rsidRPr="004F2685">
        <w:t xml:space="preserve">vliv </w:t>
      </w:r>
      <w:r w:rsidR="004C77AF" w:rsidRPr="004F2685">
        <w:t xml:space="preserve">na sousední stavby nebo pozemky. Zařízení staveniště bude umístěno na pozemcích stavby. Během stavby musí být zabráněno úniku nepovolených látek do okolí. Stavba bude prováděna s maximální ohleduplností k okolí, hlučnost a prašnost bude ometena na minimum. Stavební suť bude recyklována ev. Jinak ekologicky likvidována (např. uložením na řízené skládce). Doklad o tom bude předložen objednateli.   </w:t>
      </w:r>
    </w:p>
    <w:p w14:paraId="7D427282" w14:textId="77777777" w:rsidR="00D76AEF" w:rsidRPr="004F2685" w:rsidRDefault="00D76AEF" w:rsidP="00247776">
      <w:pPr>
        <w:pStyle w:val="KMnadpis3"/>
        <w:numPr>
          <w:ilvl w:val="0"/>
          <w:numId w:val="39"/>
        </w:numPr>
      </w:pPr>
      <w:r w:rsidRPr="004F2685">
        <w:t>Ochrana okolí staveniště a požadavky na související asanace, demolice, kácení dřevin:</w:t>
      </w:r>
    </w:p>
    <w:p w14:paraId="792FE128" w14:textId="305944FA" w:rsidR="00D76AEF" w:rsidRPr="004F2685" w:rsidRDefault="004C77AF" w:rsidP="004C77AF">
      <w:pPr>
        <w:pStyle w:val="KMnormal"/>
        <w:jc w:val="both"/>
      </w:pPr>
      <w:r w:rsidRPr="004F2685">
        <w:t>Stavba a zařízení staveniště budou chráněny mobilním oplocením. Zařízení staveniště bude umístěno na pozemcích stavby.</w:t>
      </w:r>
    </w:p>
    <w:p w14:paraId="3CDDA628" w14:textId="77777777" w:rsidR="00D76AEF" w:rsidRPr="004F2685" w:rsidRDefault="00D76AEF" w:rsidP="00247776">
      <w:pPr>
        <w:pStyle w:val="KMnadpis3"/>
        <w:numPr>
          <w:ilvl w:val="0"/>
          <w:numId w:val="39"/>
        </w:numPr>
      </w:pPr>
      <w:r w:rsidRPr="004F2685">
        <w:lastRenderedPageBreak/>
        <w:t>Maximální dočasné a trvalé zábory pro staveniště:</w:t>
      </w:r>
    </w:p>
    <w:p w14:paraId="1E3C124B" w14:textId="2E914A33" w:rsidR="00D76AEF" w:rsidRPr="004F2685" w:rsidRDefault="004C77AF" w:rsidP="00DA54A0">
      <w:pPr>
        <w:pStyle w:val="KMnormal"/>
        <w:jc w:val="both"/>
      </w:pPr>
      <w:r w:rsidRPr="004F2685">
        <w:t>Pro stavbu se nepředpokládají zábory veřejných ploch, veškeré stavební práce budou probíhat na pozemcích stavby, zařízení staveniště bude taktéž umístěno na pozemcích stavby.</w:t>
      </w:r>
    </w:p>
    <w:p w14:paraId="01967ED9" w14:textId="77777777" w:rsidR="00D76AEF" w:rsidRPr="004F2685" w:rsidRDefault="00D76AEF" w:rsidP="00247776">
      <w:pPr>
        <w:pStyle w:val="KMnadpis3"/>
        <w:numPr>
          <w:ilvl w:val="0"/>
          <w:numId w:val="39"/>
        </w:numPr>
      </w:pPr>
      <w:r w:rsidRPr="004F2685">
        <w:t>Požadavky na bezbariérové obchozí trasy:</w:t>
      </w:r>
    </w:p>
    <w:p w14:paraId="058CF5C5" w14:textId="48573FE2" w:rsidR="00D76AEF" w:rsidRPr="004F2685" w:rsidRDefault="004C77AF" w:rsidP="00D76AEF">
      <w:pPr>
        <w:pStyle w:val="KMnormal"/>
      </w:pPr>
      <w:r w:rsidRPr="004F2685">
        <w:t>Nejsou.</w:t>
      </w:r>
    </w:p>
    <w:p w14:paraId="0BBD3D1E" w14:textId="77777777" w:rsidR="00D76AEF" w:rsidRPr="004F2685" w:rsidRDefault="00D76AEF" w:rsidP="00247776">
      <w:pPr>
        <w:pStyle w:val="KMnadpis3"/>
        <w:numPr>
          <w:ilvl w:val="0"/>
          <w:numId w:val="39"/>
        </w:numPr>
      </w:pPr>
      <w:r w:rsidRPr="004F2685">
        <w:t>Maximální produkovaná množství a druhy odpadů a emisí při výstavbě, jejich likvidace:</w:t>
      </w:r>
    </w:p>
    <w:p w14:paraId="75DE6FDC" w14:textId="28D5C4A2" w:rsidR="00D76AEF" w:rsidRDefault="00E139B6" w:rsidP="00DA54A0">
      <w:pPr>
        <w:pStyle w:val="KMnormal"/>
        <w:jc w:val="both"/>
      </w:pPr>
      <w:r w:rsidRPr="004F2685">
        <w:t xml:space="preserve">Bude </w:t>
      </w:r>
      <w:r w:rsidR="00D56ED5" w:rsidRPr="004F2685">
        <w:t xml:space="preserve">se jednat především o výkopovou zeminu. Ta bude </w:t>
      </w:r>
      <w:bookmarkStart w:id="47" w:name="_Hlk55326093"/>
      <w:r w:rsidR="00B15A63" w:rsidRPr="004F2685">
        <w:t>primárně</w:t>
      </w:r>
      <w:r w:rsidR="004526AD" w:rsidRPr="004F2685">
        <w:t xml:space="preserve"> </w:t>
      </w:r>
      <w:r w:rsidR="00E8789D" w:rsidRPr="004F2685">
        <w:t xml:space="preserve">nabídnuta k druhotného </w:t>
      </w:r>
      <w:r w:rsidR="00471714" w:rsidRPr="004F2685">
        <w:t xml:space="preserve">využití, popřípadě </w:t>
      </w:r>
      <w:r w:rsidR="00DA54A0" w:rsidRPr="004F2685">
        <w:t>bude uložena na skládce.</w:t>
      </w:r>
      <w:bookmarkEnd w:id="47"/>
    </w:p>
    <w:p w14:paraId="177BE126" w14:textId="77777777" w:rsidR="000A00E7" w:rsidRPr="0079421B" w:rsidRDefault="000A00E7" w:rsidP="000A00E7">
      <w:pPr>
        <w:pStyle w:val="KMnormal"/>
        <w:jc w:val="both"/>
      </w:pPr>
      <w:r w:rsidRPr="0079421B">
        <w:t>Produkované odpady budou ukládány a zneškodňovány v souladu s</w:t>
      </w:r>
      <w:r>
        <w:t> </w:t>
      </w:r>
      <w:r w:rsidRPr="0079421B">
        <w:t>platnou legislativou.</w:t>
      </w:r>
    </w:p>
    <w:p w14:paraId="06792D39" w14:textId="77777777" w:rsidR="000A00E7" w:rsidRPr="0079421B" w:rsidRDefault="000A00E7" w:rsidP="000A00E7">
      <w:pPr>
        <w:pStyle w:val="KMnormal"/>
        <w:jc w:val="both"/>
      </w:pPr>
      <w:r w:rsidRPr="0079421B">
        <w:t xml:space="preserve"> Veškeré popsané odpady jsou zatříděny do kategorie „O“. Žádný odpad nebude nebezpečný “N“.</w:t>
      </w:r>
    </w:p>
    <w:p w14:paraId="71C8A2F2" w14:textId="77777777" w:rsidR="000A00E7" w:rsidRPr="0079421B" w:rsidRDefault="000A00E7" w:rsidP="000A00E7">
      <w:pPr>
        <w:pStyle w:val="KMnormal"/>
        <w:jc w:val="both"/>
      </w:pPr>
      <w:r w:rsidRPr="0079421B">
        <w:t xml:space="preserve"> S veškerými odpady bude náležitě nakládáno ve smyslu ustanovení zák. č. 185/2001 Sb., o odpadech, </w:t>
      </w:r>
      <w:proofErr w:type="spellStart"/>
      <w:r w:rsidRPr="0079421B">
        <w:t>vyhl</w:t>
      </w:r>
      <w:proofErr w:type="spellEnd"/>
      <w:r w:rsidRPr="0079421B">
        <w:t xml:space="preserve">. č.381/2001 Sb., </w:t>
      </w:r>
      <w:proofErr w:type="spellStart"/>
      <w:r w:rsidRPr="0079421B">
        <w:t>vyhl</w:t>
      </w:r>
      <w:proofErr w:type="spellEnd"/>
      <w:r w:rsidRPr="0079421B">
        <w:t>. č. 383/2001 Sb. a předpisů souvisejících, odvozem na legální skládky a úložiště. Původce odpadů je povinen odpady zařazovat podle druhů a kategorií podle § 5 a</w:t>
      </w:r>
      <w:r>
        <w:t> </w:t>
      </w:r>
      <w:r w:rsidRPr="0079421B">
        <w:t>6, zajistit přednostní využití odpadů v souladu s § 11. Odpady, které sám nemůže využít nebo odstranit v souladu s tímto zákonem (č.185/2001 Sb.) a prováděcími právními předpisy, převést do vlastnictví pouze osobě oprávněné k jejich převzetí podle § 12 odst.</w:t>
      </w:r>
      <w:r>
        <w:t xml:space="preserve"> </w:t>
      </w:r>
      <w:r w:rsidRPr="0079421B">
        <w:t>3, a to buď přímo, nebo prostřednictvím k tomu zřízené právnické osoby. Odpady lze ukládat pouze na skládky, které svým technickým provedením splňují požadavky pro ukládání těchto odpadů.</w:t>
      </w:r>
    </w:p>
    <w:p w14:paraId="39200371" w14:textId="77777777" w:rsidR="000A00E7" w:rsidRDefault="000A00E7" w:rsidP="000A00E7">
      <w:pPr>
        <w:pStyle w:val="KMnormal"/>
        <w:jc w:val="both"/>
      </w:pPr>
      <w:r w:rsidRPr="0079421B">
        <w:t xml:space="preserve"> Rozhodujícím hlediskem pro ukládání odpadů na skládky je jejich složení, mísitelnost, nebezpečné vlastnosti a obsah škodlivých látek ve vodním výluhu, podrobněji viz. § 20 zák. č. 185/2001 Sb.</w:t>
      </w:r>
    </w:p>
    <w:tbl>
      <w:tblPr>
        <w:tblW w:w="6811" w:type="dxa"/>
        <w:tblInd w:w="1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140"/>
        <w:gridCol w:w="1231"/>
        <w:gridCol w:w="981"/>
        <w:gridCol w:w="1526"/>
        <w:gridCol w:w="1210"/>
        <w:gridCol w:w="14"/>
      </w:tblGrid>
      <w:tr w:rsidR="000A00E7" w:rsidRPr="00BC2C68" w14:paraId="1AC1F73A" w14:textId="77777777" w:rsidTr="00ED2EF8">
        <w:trPr>
          <w:trHeight w:val="516"/>
        </w:trPr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E4B0" w14:textId="77777777" w:rsidR="000A00E7" w:rsidRPr="00BC2C68" w:rsidRDefault="000A00E7" w:rsidP="00B926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Charakteristika a zatřídění předpokládaných odpadů ze stavby </w:t>
            </w:r>
          </w:p>
        </w:tc>
      </w:tr>
      <w:tr w:rsidR="000A00E7" w:rsidRPr="00BC2C68" w14:paraId="6F2D65E0" w14:textId="77777777" w:rsidTr="00ED2EF8">
        <w:trPr>
          <w:gridAfter w:val="1"/>
          <w:wAfter w:w="14" w:type="dxa"/>
          <w:trHeight w:val="8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23E5" w14:textId="77777777" w:rsidR="000A00E7" w:rsidRPr="00BC2C68" w:rsidRDefault="000A00E7" w:rsidP="00B926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Kód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C808" w14:textId="77777777" w:rsidR="000A00E7" w:rsidRPr="00BC2C68" w:rsidRDefault="000A00E7" w:rsidP="00B926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Zatřídění odpadu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AB74" w14:textId="77777777" w:rsidR="000A00E7" w:rsidRPr="00BC2C68" w:rsidRDefault="000A00E7" w:rsidP="00B926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Název odpadu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6519" w14:textId="77777777" w:rsidR="000A00E7" w:rsidRPr="00BC2C68" w:rsidRDefault="000A00E7" w:rsidP="00B926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Původ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2F65" w14:textId="77777777" w:rsidR="000A00E7" w:rsidRPr="00BC2C68" w:rsidRDefault="000A00E7" w:rsidP="00B926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Předpokládané množství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222F" w14:textId="77777777" w:rsidR="000A00E7" w:rsidRPr="00BC2C68" w:rsidRDefault="000A00E7" w:rsidP="00B926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Nakládání s odpady </w:t>
            </w:r>
          </w:p>
        </w:tc>
      </w:tr>
      <w:tr w:rsidR="000A00E7" w:rsidRPr="00BC2C68" w14:paraId="1962CFAE" w14:textId="77777777" w:rsidTr="00ED2EF8">
        <w:trPr>
          <w:gridAfter w:val="1"/>
          <w:wAfter w:w="14" w:type="dxa"/>
          <w:trHeight w:val="62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2581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17 01 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ABB2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Beton, cihly, tašky a keramika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795F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17 01 01 Beton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03B5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Stavební činnost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1A8F" w14:textId="606C88B6" w:rsidR="000A00E7" w:rsidRPr="00BC2C68" w:rsidRDefault="00447D8F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  <w:r w:rsidR="000A00E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  <w:r w:rsidR="000A00E7"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0A00E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</w:t>
            </w:r>
            <w:r w:rsidR="000A00E7"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B7B1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Odvoz a uložení na skládku </w:t>
            </w:r>
          </w:p>
        </w:tc>
      </w:tr>
      <w:tr w:rsidR="000A00E7" w:rsidRPr="00BC2C68" w14:paraId="6A4DF596" w14:textId="77777777" w:rsidTr="00ED2EF8">
        <w:trPr>
          <w:gridAfter w:val="1"/>
          <w:wAfter w:w="14" w:type="dxa"/>
          <w:trHeight w:val="62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F989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2E6DF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B447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17 01 02 Cihly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BA3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Stavební činnost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48A6" w14:textId="55EDE14D" w:rsidR="000A00E7" w:rsidRPr="00BC2C68" w:rsidRDefault="00447D8F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0,5</w:t>
            </w:r>
            <w:r w:rsidR="000A00E7"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0A00E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</w:t>
            </w:r>
            <w:r w:rsidR="000A00E7"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4D721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A00E7" w:rsidRPr="00BC2C68" w14:paraId="3F58C201" w14:textId="77777777" w:rsidTr="00ED2EF8">
        <w:trPr>
          <w:gridAfter w:val="1"/>
          <w:wAfter w:w="14" w:type="dxa"/>
          <w:trHeight w:val="624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6B36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17 02 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C9CB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Dřevo, sklo a plasty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15B1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17 02 01 Dřevo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C979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Stavební činnost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D3D7" w14:textId="29640C0B" w:rsidR="000A00E7" w:rsidRPr="00BC2C68" w:rsidRDefault="000A179C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0,1 t</w:t>
            </w:r>
            <w:r w:rsidR="000A00E7"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BCE0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Odvoz a uložení na skládku </w:t>
            </w:r>
          </w:p>
        </w:tc>
      </w:tr>
      <w:tr w:rsidR="000A00E7" w:rsidRPr="00BC2C68" w14:paraId="0B2A12E0" w14:textId="77777777" w:rsidTr="00ED2EF8">
        <w:trPr>
          <w:gridAfter w:val="1"/>
          <w:wAfter w:w="14" w:type="dxa"/>
          <w:trHeight w:val="62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7781B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7722F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4EC3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17 02 02 Sklo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78F0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Stavební činnost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70D1" w14:textId="653343BE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</w:t>
            </w:r>
            <w:r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0A179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</w:t>
            </w:r>
          </w:p>
        </w:tc>
        <w:tc>
          <w:tcPr>
            <w:tcW w:w="1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EF5D6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A00E7" w:rsidRPr="00BC2C68" w14:paraId="26563CA5" w14:textId="77777777" w:rsidTr="00ED2EF8">
        <w:trPr>
          <w:gridAfter w:val="1"/>
          <w:wAfter w:w="14" w:type="dxa"/>
          <w:trHeight w:val="62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2BFDD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6CBC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2DE8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17 02 03 Plasty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ED4E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Stavební činnost 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A2E0" w14:textId="17091C7D" w:rsidR="000A00E7" w:rsidRPr="00BC2C68" w:rsidRDefault="000A179C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0,2 t</w:t>
            </w:r>
            <w:r w:rsidR="000A00E7"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5478A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A00E7" w:rsidRPr="00BC2C68" w14:paraId="261FAA96" w14:textId="77777777" w:rsidTr="00ED2EF8">
        <w:trPr>
          <w:gridAfter w:val="1"/>
          <w:wAfter w:w="14" w:type="dxa"/>
          <w:trHeight w:val="23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52AB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17 03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43F7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Asfaltové směsi, dehet a výrobky </w:t>
            </w:r>
          </w:p>
          <w:p w14:paraId="3F15060A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 dehtu 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8706" w14:textId="77777777" w:rsidR="000A00E7" w:rsidRPr="00BF4A15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F4A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17 03 02 </w:t>
            </w:r>
          </w:p>
          <w:p w14:paraId="1769BF68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F4A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Asfaltové směsi obsahující dehet</w:t>
            </w: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C488" w14:textId="77777777" w:rsidR="000A00E7" w:rsidRPr="00BF4A15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F4A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Stavební činnost 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87C0" w14:textId="08ABEC95" w:rsidR="000A00E7" w:rsidRPr="00BC2C68" w:rsidRDefault="000A179C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0,1 t</w:t>
            </w:r>
            <w:r w:rsidR="000A00E7"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8B46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Odvoz a uložení na skládku </w:t>
            </w:r>
          </w:p>
        </w:tc>
      </w:tr>
      <w:tr w:rsidR="000A00E7" w:rsidRPr="00BC2C68" w14:paraId="224869B0" w14:textId="77777777" w:rsidTr="00ED2EF8">
        <w:trPr>
          <w:gridAfter w:val="1"/>
          <w:wAfter w:w="14" w:type="dxa"/>
          <w:trHeight w:val="10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1223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17 04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93CB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Kovy 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ACBC" w14:textId="77777777" w:rsidR="000A00E7" w:rsidRPr="00BF4A15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F4A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17 04 05 </w:t>
            </w:r>
          </w:p>
          <w:p w14:paraId="5A5D87E7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F4A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Železo a ocel</w:t>
            </w: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A06E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Stavební činnost 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6AEF" w14:textId="341279B8" w:rsidR="000A00E7" w:rsidRPr="00BC2C68" w:rsidRDefault="000A179C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0,2 t</w:t>
            </w:r>
            <w:r w:rsidR="000A00E7"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3DE6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Odvoz a uložení na skládku </w:t>
            </w:r>
          </w:p>
        </w:tc>
      </w:tr>
      <w:tr w:rsidR="00595CA4" w:rsidRPr="00BC2C68" w14:paraId="7EE6D164" w14:textId="77777777" w:rsidTr="00ED2EF8">
        <w:trPr>
          <w:gridAfter w:val="1"/>
          <w:wAfter w:w="14" w:type="dxa"/>
          <w:trHeight w:val="25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2AE0C" w14:textId="6F321B75" w:rsidR="00595CA4" w:rsidRPr="00BC2C68" w:rsidRDefault="00595CA4" w:rsidP="00595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17 05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A966" w14:textId="705455C1" w:rsidR="00595CA4" w:rsidRPr="00BC2C68" w:rsidRDefault="00595CA4" w:rsidP="00595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B1D29">
              <w:rPr>
                <w:rFonts w:ascii="Calibri" w:eastAsia="Times New Roman" w:hAnsi="Calibri" w:cs="Calibri"/>
                <w:color w:val="000000"/>
                <w:lang w:eastAsia="cs-CZ"/>
              </w:rPr>
              <w:t>Zemina a kamení neuvedené pod číslem 17 05 03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79E2" w14:textId="6E6ACFDC" w:rsidR="00595CA4" w:rsidRPr="00BF4A15" w:rsidRDefault="00595CA4" w:rsidP="00595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17 05 04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A60B" w14:textId="12B529C7" w:rsidR="00595CA4" w:rsidRPr="00BF4A15" w:rsidRDefault="00595CA4" w:rsidP="00595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Stavební činnost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CF71F" w14:textId="259936E9" w:rsidR="00595CA4" w:rsidRDefault="000A179C" w:rsidP="00595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t>1</w:t>
            </w:r>
            <w:r w:rsidR="007561BC">
              <w:t>505 t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354E" w14:textId="231B93F9" w:rsidR="00595CA4" w:rsidRPr="00BC2C68" w:rsidRDefault="00963173" w:rsidP="00595C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3173">
              <w:rPr>
                <w:rFonts w:ascii="Calibri" w:eastAsia="Times New Roman" w:hAnsi="Calibri" w:cs="Calibri"/>
                <w:color w:val="000000"/>
                <w:lang w:eastAsia="cs-CZ"/>
              </w:rPr>
              <w:t>bude primárně nabídnuta k druhotného využití</w:t>
            </w:r>
          </w:p>
        </w:tc>
      </w:tr>
      <w:tr w:rsidR="000A00E7" w:rsidRPr="00BC2C68" w14:paraId="3AB6A066" w14:textId="77777777" w:rsidTr="00ED2EF8">
        <w:trPr>
          <w:gridAfter w:val="1"/>
          <w:wAfter w:w="14" w:type="dxa"/>
          <w:trHeight w:val="25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4334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17 08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F98E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Stavební materiály </w:t>
            </w:r>
          </w:p>
          <w:p w14:paraId="5EFBAA5B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na bázi sádry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42F1" w14:textId="77777777" w:rsidR="000A00E7" w:rsidRPr="00BF4A15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F4A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17 08 02 Stavební materiály na bázi sádry neuvedené v 17 08 01 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083F" w14:textId="77777777" w:rsidR="000A00E7" w:rsidRPr="00BF4A15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F4A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Stavební činnost 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138F" w14:textId="7B93450E" w:rsidR="000A00E7" w:rsidRPr="00BC2C68" w:rsidRDefault="00AC6850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</w:t>
            </w:r>
            <w:r w:rsidR="000A00E7" w:rsidRPr="00BC2C6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7561B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110C" w14:textId="77777777" w:rsidR="000A00E7" w:rsidRPr="00BC2C68" w:rsidRDefault="000A00E7" w:rsidP="00B926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C2C6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Odvoz a uložení na skládku </w:t>
            </w:r>
          </w:p>
        </w:tc>
      </w:tr>
    </w:tbl>
    <w:p w14:paraId="0B3434E3" w14:textId="77777777" w:rsidR="000A00E7" w:rsidRDefault="000A00E7" w:rsidP="000A00E7">
      <w:pPr>
        <w:pStyle w:val="KMnormal"/>
        <w:jc w:val="both"/>
      </w:pPr>
    </w:p>
    <w:p w14:paraId="2BE551B2" w14:textId="77777777" w:rsidR="000A00E7" w:rsidRPr="004F2685" w:rsidRDefault="000A00E7" w:rsidP="00DA54A0">
      <w:pPr>
        <w:pStyle w:val="KMnormal"/>
        <w:jc w:val="both"/>
      </w:pPr>
    </w:p>
    <w:p w14:paraId="71764230" w14:textId="77777777" w:rsidR="00D76AEF" w:rsidRPr="004F2685" w:rsidRDefault="00D76AEF" w:rsidP="00247776">
      <w:pPr>
        <w:pStyle w:val="KMnadpis3"/>
        <w:numPr>
          <w:ilvl w:val="0"/>
          <w:numId w:val="39"/>
        </w:numPr>
      </w:pPr>
      <w:r w:rsidRPr="004F2685">
        <w:t>Bilance zemních prací, požadavky na přísun nebo deponie zemin:</w:t>
      </w:r>
    </w:p>
    <w:p w14:paraId="60D613D0" w14:textId="0A3E9FF5" w:rsidR="00D76AEF" w:rsidRPr="004F2685" w:rsidRDefault="004C77AF" w:rsidP="00302191">
      <w:pPr>
        <w:pStyle w:val="KMnormal"/>
        <w:jc w:val="both"/>
      </w:pPr>
      <w:r w:rsidRPr="004F2685">
        <w:t>Výkopy</w:t>
      </w:r>
      <w:r w:rsidR="00DA54A0" w:rsidRPr="004F2685">
        <w:t xml:space="preserve"> </w:t>
      </w:r>
      <w:r w:rsidR="003319FC" w:rsidRPr="004F2685">
        <w:t>založení nového podloží pod novým brouzdalištěm,</w:t>
      </w:r>
      <w:r w:rsidRPr="004F2685">
        <w:t xml:space="preserve"> pro šachty, výkopy pro kanalizaci, vodu a </w:t>
      </w:r>
      <w:proofErr w:type="spellStart"/>
      <w:proofErr w:type="gramStart"/>
      <w:r w:rsidRPr="004F2685">
        <w:t>el.kabel</w:t>
      </w:r>
      <w:proofErr w:type="spellEnd"/>
      <w:proofErr w:type="gramEnd"/>
      <w:r w:rsidR="008B60C3" w:rsidRPr="004F2685">
        <w:t>. Na sta</w:t>
      </w:r>
      <w:r w:rsidR="003E1237" w:rsidRPr="004F2685">
        <w:t xml:space="preserve">veništi bude </w:t>
      </w:r>
      <w:r w:rsidR="001F180B" w:rsidRPr="004F2685">
        <w:t>deponová</w:t>
      </w:r>
      <w:r w:rsidR="00B35845" w:rsidRPr="004F2685">
        <w:t xml:space="preserve">na </w:t>
      </w:r>
      <w:r w:rsidR="001A42DB" w:rsidRPr="004F2685">
        <w:t>ornice</w:t>
      </w:r>
      <w:r w:rsidR="0066307B" w:rsidRPr="004F2685">
        <w:t xml:space="preserve"> a</w:t>
      </w:r>
      <w:r w:rsidR="00302191" w:rsidRPr="004F2685">
        <w:t xml:space="preserve"> zemina vhodná pro zpětné zásypy. Přebytečná zeminy nabídnuta k druhotného využití, popřípadě bude uložena na skládce.</w:t>
      </w:r>
    </w:p>
    <w:p w14:paraId="0FC2ED74" w14:textId="77777777" w:rsidR="00D76AEF" w:rsidRPr="004F2685" w:rsidRDefault="00D76AEF" w:rsidP="00D76AEF">
      <w:pPr>
        <w:pStyle w:val="KMnadpis3"/>
        <w:numPr>
          <w:ilvl w:val="0"/>
          <w:numId w:val="39"/>
        </w:numPr>
      </w:pPr>
      <w:r w:rsidRPr="004F2685">
        <w:t>Ochrana životního prostředí při výstavbě:</w:t>
      </w:r>
    </w:p>
    <w:p w14:paraId="441C3B48" w14:textId="454C3DEE" w:rsidR="00D76AEF" w:rsidRDefault="004C77AF" w:rsidP="00D76AEF">
      <w:pPr>
        <w:pStyle w:val="KMnormal"/>
      </w:pPr>
      <w:r w:rsidRPr="004F2685">
        <w:t>Stavba bude prováděna s maximální ohleduplností k životnímu prostředí.</w:t>
      </w:r>
    </w:p>
    <w:p w14:paraId="6246CAE3" w14:textId="77777777" w:rsidR="008F3511" w:rsidRPr="00066580" w:rsidRDefault="008F3511" w:rsidP="008F3511">
      <w:pPr>
        <w:pStyle w:val="KMnormal"/>
        <w:jc w:val="both"/>
      </w:pPr>
      <w:r w:rsidRPr="00066580">
        <w:t xml:space="preserve">Po dobu provádění stavby nesmí být okolní prostor ovlivňován nadměrným hlukem, vibracemi a otřesy nad mez stanovenou v Nařízení </w:t>
      </w:r>
      <w:r w:rsidRPr="00066580">
        <w:lastRenderedPageBreak/>
        <w:t xml:space="preserve">vlády o ochraně zdraví před nepříznivými účinky hluku a vibrací č. 502, částka 146, ze dne 30.12.2000. </w:t>
      </w:r>
    </w:p>
    <w:p w14:paraId="50E25223" w14:textId="77777777" w:rsidR="008F3511" w:rsidRPr="00066580" w:rsidRDefault="008F3511" w:rsidP="008F3511">
      <w:pPr>
        <w:pStyle w:val="KMnormal"/>
        <w:jc w:val="both"/>
        <w:rPr>
          <w:rFonts w:cs="Times New Roman"/>
          <w:color w:val="000000"/>
        </w:rPr>
      </w:pPr>
      <w:r w:rsidRPr="00066580">
        <w:rPr>
          <w:rFonts w:cs="Times New Roman"/>
          <w:color w:val="000000"/>
        </w:rPr>
        <w:t xml:space="preserve">Nepříznivé důsledky stavební činnosti budou eliminovány realizací souboru opatření: </w:t>
      </w:r>
    </w:p>
    <w:p w14:paraId="1575E33B" w14:textId="77777777" w:rsidR="008F3511" w:rsidRPr="00066580" w:rsidRDefault="008F3511" w:rsidP="008F3511">
      <w:pPr>
        <w:pStyle w:val="KMnormal"/>
        <w:jc w:val="both"/>
        <w:rPr>
          <w:rFonts w:cs="Times New Roman"/>
          <w:color w:val="000000"/>
        </w:rPr>
      </w:pPr>
      <w:r w:rsidRPr="00066580">
        <w:rPr>
          <w:rFonts w:cs="Times New Roman"/>
          <w:color w:val="000000"/>
        </w:rPr>
        <w:t xml:space="preserve">- Časové omezení stavební činnosti: Hladina hluku ze stavební činnosti nesmí přesáhnout ve venkovním prostoru hodnotu 65 dB v době od 7 do 21 hodin a v době od 21 do 7 hodin hodnotu 45 dB. </w:t>
      </w:r>
    </w:p>
    <w:p w14:paraId="669B1218" w14:textId="77777777" w:rsidR="008F3511" w:rsidRDefault="008F3511" w:rsidP="008F3511">
      <w:pPr>
        <w:pStyle w:val="KMnormal"/>
        <w:jc w:val="both"/>
      </w:pPr>
      <w:r w:rsidRPr="00066580">
        <w:rPr>
          <w:rFonts w:cs="Times New Roman"/>
          <w:color w:val="000000"/>
        </w:rPr>
        <w:t>- Strojní mechanizace bude užita typů a parametrů s garantovanou nižší vyzařovanou hlučností.</w:t>
      </w:r>
    </w:p>
    <w:p w14:paraId="18F0A06A" w14:textId="77777777" w:rsidR="008F3511" w:rsidRPr="004F2685" w:rsidRDefault="008F3511" w:rsidP="00D76AEF">
      <w:pPr>
        <w:pStyle w:val="KMnormal"/>
      </w:pPr>
    </w:p>
    <w:p w14:paraId="0A1AFF38" w14:textId="77777777" w:rsidR="00D76AEF" w:rsidRPr="004F2685" w:rsidRDefault="00D76AEF" w:rsidP="00D76AEF">
      <w:pPr>
        <w:pStyle w:val="KMnadpis3"/>
        <w:numPr>
          <w:ilvl w:val="0"/>
          <w:numId w:val="39"/>
        </w:numPr>
      </w:pPr>
      <w:r w:rsidRPr="004F2685">
        <w:t>Zásady bezpečnosti a ochrany zdraví při práci na staveništi:</w:t>
      </w:r>
    </w:p>
    <w:p w14:paraId="48BDB473" w14:textId="61A99D51" w:rsidR="00D76AEF" w:rsidRPr="004F2685" w:rsidRDefault="007B020E" w:rsidP="007B020E">
      <w:pPr>
        <w:pStyle w:val="KMnormal"/>
        <w:jc w:val="both"/>
      </w:pPr>
      <w:r w:rsidRPr="004F2685">
        <w:t xml:space="preserve">Při zajišťování stavebních prací budou všechny osoby, které vstupují na staveniště, vybaveny osobnímu ochrannými pracovními prostředky v souladu s možným ohrožením, která pro tyto osoby z provádění stavebních prací vyplývají. Dodavatel stavebních prací musí v rámci své dodavatelské dokumentace vytvořit podmínky k zajištění bezpečnosti práce. Odpovědný pracovník určí nezbytná opatření k zjištění bezpečnosti práce před započetím jednotlivých prací. V zásadě se nebude jednat o stavební práce v mimořádných podmínkách. V případě, že by se v průběhu stavebních prací vyskytly mimořádné podmínky, určí dodavatel stavebních prací potřebná opatření k zajištění bezpečnosti práce. S určenými opatřeními musí dodavatel stavebních prací obeznámit pracovníky, kterých se tato opatření týkají. Dodavatel stavebních prací je povinen pracovníky, kteří stavební práce řídí, provádějí a kontrolují, vyškolit z předpisů k zajištění bezpečnosti práce a technických zařízení, popřípadě prakticky zaučit, a to v rozsahu potřebném pro výkon jejich práce a ověřovat jejich znalost v pravidelných intervalech. Veškerá stavební činnost musí být řízena a prováděna v souladu s příslušnými normami a předpisy. Pro zajištění bezpečnosti práce v průběhu realizace stavby je třeba respektovat ustanovení závazných předpisů a nařízení, zejména pak: Zákoník práce, Zákon č.309/2006 Sb., zákon o zajištění dalších podmínek bezpečnosti a ochrany zdraví při práci, kterým se upravují další požadavky bezpečnosti a ochrany zdraví při práci v pracovněprávních vztazích a o zajištění bezpečnosti a ochrany zdraví při činnosti nebo poskytování služeb mimo pracovněprávní vztahy, NV č. 591/2006 Sb., o bližších minimálních požadavcích na bezpečnost a ochranu zdraví při práci na staveništích, NV č. 362/2005 Sb., o bližších požadavcích na bezpečnost a ochranu zdraví při práci na pracovišti s nebezpečím pádu z výšky nebo do hloubky, NV č. 101/2005 Sb., o podrobnějších požadavcích na pracoviště a pracovní prostředí, NV č. 378/2001 Sb., kterým se stanoví bližší požadavky na bezpečný provoz a používání strojů, technických zařízení, přístrojů a nářadí, NV č. 168/2002 Sb., kterým se stanoví způsob organizace práce a pracovních postupů, které je zaměstnavatel povinen zajistit při provozování dopravy dopravními prostředky, NV č. 361/2007 Sb., kterým se stanoví podmínky ochrany zdraví zaměstnanců při práci, NV č. 21/2003 Sb., kterým se </w:t>
      </w:r>
      <w:r w:rsidRPr="004F2685">
        <w:lastRenderedPageBreak/>
        <w:t xml:space="preserve">stanoví technické požadavky na osobní ochranné prostředky, NV č. 495/2001 Sb., kterým se stanoví rozsah a bližší podmínky poskytování osobních ochranných pracovních prostředků, mycích, čistících a dezinfekčních prostředků, Dále je nutno dodržovat projektovou dokumentaci, odchylky od ní nebo od stavu předpokládaného v dokumentaci je nutno konzultovat s projektantem. </w:t>
      </w:r>
    </w:p>
    <w:p w14:paraId="30C086F4" w14:textId="77777777" w:rsidR="00D76AEF" w:rsidRPr="004F2685" w:rsidRDefault="00D76AEF" w:rsidP="00D76AEF">
      <w:pPr>
        <w:pStyle w:val="KMnadpis3"/>
        <w:numPr>
          <w:ilvl w:val="0"/>
          <w:numId w:val="39"/>
        </w:numPr>
      </w:pPr>
      <w:r w:rsidRPr="004F2685">
        <w:t>Úpravy pro bezbariérové užívání výstavbou dotčených staveb:</w:t>
      </w:r>
    </w:p>
    <w:p w14:paraId="65061D0C" w14:textId="783D36BC" w:rsidR="00D76AEF" w:rsidRPr="004F2685" w:rsidRDefault="007B020E" w:rsidP="00D76AEF">
      <w:pPr>
        <w:pStyle w:val="KMnormal"/>
      </w:pPr>
      <w:r w:rsidRPr="004F2685">
        <w:t>Během stavby nebude objekt a okolí upraveno pro bezbariérové užívání.</w:t>
      </w:r>
    </w:p>
    <w:p w14:paraId="36955078" w14:textId="77777777" w:rsidR="00D76AEF" w:rsidRPr="004F2685" w:rsidRDefault="00D76AEF" w:rsidP="00D76AEF">
      <w:pPr>
        <w:pStyle w:val="KMnadpis3"/>
        <w:numPr>
          <w:ilvl w:val="0"/>
          <w:numId w:val="39"/>
        </w:numPr>
      </w:pPr>
      <w:r w:rsidRPr="004F2685">
        <w:t>Zásady pro dopravní inženýrská opatření:</w:t>
      </w:r>
    </w:p>
    <w:p w14:paraId="193CCFC8" w14:textId="1CB3F099" w:rsidR="00D76AEF" w:rsidRPr="004F2685" w:rsidRDefault="00764C5C" w:rsidP="00764C5C">
      <w:pPr>
        <w:pStyle w:val="KMnormal"/>
        <w:jc w:val="both"/>
      </w:pPr>
      <w:r w:rsidRPr="004F2685">
        <w:t>Vzhledem k tomu, že stavba bude probíhat v uzavřeném areálu a výjezd z tohoto areálu je situován mimo zastavěnou oblast na slepé ulici s nízkou frekvencí dopravy nebude zapotřebí dopravně inženýrské opatření. I přes tuto skutečnost doporučujeme osadit dopravní značení „POZOR VJEZD A VÝJEZD VOZIDEL STAVBY“ - standardní obdélník 1000x1500mm.</w:t>
      </w:r>
    </w:p>
    <w:p w14:paraId="4CFBEA5F" w14:textId="77777777" w:rsidR="00D76AEF" w:rsidRPr="004F2685" w:rsidRDefault="00D76AEF" w:rsidP="00D76AEF">
      <w:pPr>
        <w:pStyle w:val="KMnadpis3"/>
        <w:numPr>
          <w:ilvl w:val="0"/>
          <w:numId w:val="39"/>
        </w:numPr>
      </w:pPr>
      <w:r w:rsidRPr="004F2685">
        <w:t>Stanovení speciálních podmínek pro provádění stavby – provádění stavby za provozu, opatření proti účinkům vnějšího prostředí při výstavbě apod.:</w:t>
      </w:r>
    </w:p>
    <w:p w14:paraId="775B199F" w14:textId="75CF73BF" w:rsidR="00D76AEF" w:rsidRPr="004F2685" w:rsidRDefault="007B020E" w:rsidP="00D76AEF">
      <w:pPr>
        <w:pStyle w:val="KMnormal"/>
      </w:pPr>
      <w:r w:rsidRPr="004F2685">
        <w:t>Žádné speciální podmínky pro provádění stavby nejsou požadovány.</w:t>
      </w:r>
    </w:p>
    <w:p w14:paraId="7CF2E42A" w14:textId="77777777" w:rsidR="00D76AEF" w:rsidRPr="004F2685" w:rsidRDefault="00D76AEF" w:rsidP="00D76AEF">
      <w:pPr>
        <w:pStyle w:val="KMnadpis3"/>
        <w:numPr>
          <w:ilvl w:val="0"/>
          <w:numId w:val="39"/>
        </w:numPr>
      </w:pPr>
      <w:r w:rsidRPr="004F2685">
        <w:t>Postup výstavby, rozhodující dílčí termíny:</w:t>
      </w:r>
    </w:p>
    <w:p w14:paraId="0D2825C2" w14:textId="78C6F44A" w:rsidR="00D76AEF" w:rsidRPr="004F2685" w:rsidRDefault="007B020E" w:rsidP="00F47553">
      <w:pPr>
        <w:pStyle w:val="KMnormal"/>
        <w:jc w:val="both"/>
      </w:pPr>
      <w:r w:rsidRPr="004F2685">
        <w:t>Podmínkou pro zahájení stavby brouzdaliště je dokončení bouracích prací stávajícího brouzdaliště. Postup výstavby a dílčí termíny stanoví realizační firma po dohodě s investorem. Realizační firma vypracuje harmonogram prací, který odsouhlasí investor. Předpokládaný začátek výstavby je 02/2021, dokončení do 12/2021.</w:t>
      </w:r>
    </w:p>
    <w:p w14:paraId="583D38C0" w14:textId="77777777" w:rsidR="002A67FB" w:rsidRPr="004F2685" w:rsidRDefault="002A67FB" w:rsidP="002A67FB">
      <w:pPr>
        <w:pStyle w:val="KMnadpis1"/>
      </w:pPr>
      <w:bookmarkStart w:id="48" w:name="_Toc55326832"/>
      <w:r w:rsidRPr="004F2685">
        <w:t>Celkové vodohospodářské řešení</w:t>
      </w:r>
      <w:bookmarkEnd w:id="48"/>
    </w:p>
    <w:p w14:paraId="4DF7EB33" w14:textId="79244965" w:rsidR="00343AF0" w:rsidRPr="004F2685" w:rsidRDefault="00343AF0" w:rsidP="00343AF0">
      <w:pPr>
        <w:pStyle w:val="KMnormal"/>
        <w:ind w:left="708"/>
      </w:pPr>
      <w:r w:rsidRPr="004F2685">
        <w:t>Dle výpočtu pro navržený filtry vychází potřeba prací vody:</w:t>
      </w:r>
    </w:p>
    <w:p w14:paraId="3B06EE87" w14:textId="77777777" w:rsidR="00343AF0" w:rsidRPr="004F2685" w:rsidRDefault="00343AF0" w:rsidP="00343AF0">
      <w:pPr>
        <w:pStyle w:val="KMnormal"/>
        <w:ind w:left="708"/>
      </w:pPr>
      <w:r w:rsidRPr="004F2685">
        <w:t>18,33 l/s = 5,50m3/</w:t>
      </w:r>
      <w:proofErr w:type="gramStart"/>
      <w:r w:rsidRPr="004F2685">
        <w:t>5min</w:t>
      </w:r>
      <w:proofErr w:type="gramEnd"/>
      <w:r w:rsidRPr="004F2685">
        <w:t xml:space="preserve"> /praní jednoho filtru (je-li uvažováno s praním v délce 5min.) předpokládané praní každého ze dvou navržených filtrů je cca 2x týdně v závislosti na zatížení bazénu – tedy předpokládaná spotřeba vody pro praní filtrů v je celkem cca 44,0m3/týden.</w:t>
      </w:r>
    </w:p>
    <w:p w14:paraId="13F97335" w14:textId="77777777" w:rsidR="00343AF0" w:rsidRPr="004F2685" w:rsidRDefault="00343AF0" w:rsidP="00343AF0">
      <w:pPr>
        <w:pStyle w:val="KMnormal"/>
        <w:ind w:left="708"/>
      </w:pPr>
      <w:r w:rsidRPr="004F2685">
        <w:t>Vypouštěná prací voda má charakter vody splaškové.</w:t>
      </w:r>
    </w:p>
    <w:p w14:paraId="3FB6FD36" w14:textId="63C57AA3" w:rsidR="001D4DB8" w:rsidRPr="002A67FB" w:rsidRDefault="00343AF0" w:rsidP="00343AF0">
      <w:pPr>
        <w:pStyle w:val="KMnormal"/>
        <w:ind w:left="708"/>
      </w:pPr>
      <w:r w:rsidRPr="004F2685">
        <w:t>Výměna celého obsahu vody v systému (cca 50,00 m3) se předpokládá 1x týdně.</w:t>
      </w:r>
    </w:p>
    <w:sectPr w:rsidR="001D4DB8" w:rsidRPr="002A67FB" w:rsidSect="007D279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39CBD1" w14:textId="77777777" w:rsidR="00331C6E" w:rsidRDefault="00331C6E" w:rsidP="007D2794">
      <w:pPr>
        <w:spacing w:after="0" w:line="240" w:lineRule="auto"/>
      </w:pPr>
      <w:r>
        <w:separator/>
      </w:r>
    </w:p>
  </w:endnote>
  <w:endnote w:type="continuationSeparator" w:id="0">
    <w:p w14:paraId="3D8F561C" w14:textId="77777777" w:rsidR="00331C6E" w:rsidRDefault="00331C6E" w:rsidP="007D2794">
      <w:pPr>
        <w:spacing w:after="0" w:line="240" w:lineRule="auto"/>
      </w:pPr>
      <w:r>
        <w:continuationSeparator/>
      </w:r>
    </w:p>
  </w:endnote>
  <w:endnote w:type="continuationNotice" w:id="1">
    <w:p w14:paraId="482F1C5C" w14:textId="77777777" w:rsidR="00331C6E" w:rsidRDefault="00331C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1AE3E342" w14:textId="4510168D" w:rsidR="007D2794" w:rsidRPr="007D2794" w:rsidRDefault="00841560">
        <w:pPr>
          <w:pStyle w:val="Zpat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s</w:t>
        </w:r>
        <w:r w:rsidR="007D2794" w:rsidRPr="007D2794">
          <w:rPr>
            <w:rFonts w:ascii="Times New Roman" w:hAnsi="Times New Roman" w:cs="Times New Roman"/>
          </w:rPr>
          <w:t>trana</w:t>
        </w:r>
        <w:r>
          <w:rPr>
            <w:rFonts w:ascii="Times New Roman" w:hAnsi="Times New Roman" w:cs="Times New Roman"/>
          </w:rPr>
          <w:t xml:space="preserve"> </w:t>
        </w:r>
        <w:r w:rsidR="007D2794" w:rsidRPr="007D2794">
          <w:rPr>
            <w:rFonts w:ascii="Times New Roman" w:hAnsi="Times New Roman" w:cs="Times New Roman"/>
          </w:rPr>
          <w:t xml:space="preserve"> </w:t>
        </w:r>
        <w:r w:rsidR="007D2794" w:rsidRPr="007D2794">
          <w:rPr>
            <w:rFonts w:ascii="Times New Roman" w:hAnsi="Times New Roman" w:cs="Times New Roman"/>
          </w:rPr>
          <w:fldChar w:fldCharType="begin"/>
        </w:r>
        <w:r w:rsidR="007D2794" w:rsidRPr="007D2794">
          <w:rPr>
            <w:rFonts w:ascii="Times New Roman" w:hAnsi="Times New Roman" w:cs="Times New Roman"/>
          </w:rPr>
          <w:instrText>PAGE   \* MERGEFORMAT</w:instrText>
        </w:r>
        <w:r w:rsidR="007D2794" w:rsidRPr="007D2794">
          <w:rPr>
            <w:rFonts w:ascii="Times New Roman" w:hAnsi="Times New Roman" w:cs="Times New Roman"/>
          </w:rPr>
          <w:fldChar w:fldCharType="separate"/>
        </w:r>
        <w:r w:rsidR="007D2794" w:rsidRPr="007D2794">
          <w:rPr>
            <w:rFonts w:ascii="Times New Roman" w:hAnsi="Times New Roman" w:cs="Times New Roman"/>
          </w:rPr>
          <w:t>2</w:t>
        </w:r>
        <w:r w:rsidR="007D2794" w:rsidRPr="007D2794">
          <w:rPr>
            <w:rFonts w:ascii="Times New Roman" w:hAnsi="Times New Roman" w:cs="Times New Roman"/>
          </w:rPr>
          <w:fldChar w:fldCharType="end"/>
        </w:r>
        <w:r w:rsidR="007D2794" w:rsidRPr="007D2794">
          <w:rPr>
            <w:rFonts w:ascii="Times New Roman" w:hAnsi="Times New Roman" w:cs="Times New Roman"/>
          </w:rPr>
          <w:t xml:space="preserve"> z </w:t>
        </w:r>
        <w:r w:rsidR="002C7194">
          <w:rPr>
            <w:rFonts w:ascii="Times New Roman" w:hAnsi="Times New Roman" w:cs="Times New Roman"/>
          </w:rPr>
          <w:t>1</w:t>
        </w:r>
        <w:r w:rsidR="00ED2EF8">
          <w:rPr>
            <w:rFonts w:ascii="Times New Roman" w:hAnsi="Times New Roman" w:cs="Times New Roman"/>
          </w:rPr>
          <w:t>7</w:t>
        </w:r>
      </w:p>
    </w:sdtContent>
  </w:sdt>
  <w:p w14:paraId="3392198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332F9" w14:textId="77777777" w:rsidR="00331C6E" w:rsidRDefault="00331C6E" w:rsidP="007D2794">
      <w:pPr>
        <w:spacing w:after="0" w:line="240" w:lineRule="auto"/>
      </w:pPr>
      <w:r>
        <w:separator/>
      </w:r>
    </w:p>
  </w:footnote>
  <w:footnote w:type="continuationSeparator" w:id="0">
    <w:p w14:paraId="052E7A1E" w14:textId="77777777" w:rsidR="00331C6E" w:rsidRDefault="00331C6E" w:rsidP="007D2794">
      <w:pPr>
        <w:spacing w:after="0" w:line="240" w:lineRule="auto"/>
      </w:pPr>
      <w:r>
        <w:continuationSeparator/>
      </w:r>
    </w:p>
  </w:footnote>
  <w:footnote w:type="continuationNotice" w:id="1">
    <w:p w14:paraId="65E8C1F3" w14:textId="77777777" w:rsidR="00331C6E" w:rsidRDefault="00331C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3C9245E1" w14:textId="77777777" w:rsidTr="007D2794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2AFF1778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350C81E0" wp14:editId="3BDF4A03">
                <wp:extent cx="1394460" cy="63246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7340E91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431F9E74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F0E9073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CC84A1E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0AD03F89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72222E0D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44DAD46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2FD1658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24F057C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528FAECA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760C6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hybridMultilevel"/>
    <w:tmpl w:val="CDC204EC"/>
    <w:lvl w:ilvl="0" w:tplc="C5CCC8A6">
      <w:start w:val="1"/>
      <w:numFmt w:val="decimal"/>
      <w:pStyle w:val="KMnadpis1"/>
      <w:lvlText w:val="B.%1"/>
      <w:lvlJc w:val="left"/>
      <w:pPr>
        <w:ind w:left="360" w:hanging="360"/>
      </w:pPr>
      <w:rPr>
        <w:rFonts w:hint="default"/>
      </w:rPr>
    </w:lvl>
    <w:lvl w:ilvl="1" w:tplc="3AAAE5F0">
      <w:start w:val="1"/>
      <w:numFmt w:val="decimal"/>
      <w:pStyle w:val="KMnadpis2"/>
      <w:lvlText w:val="B.2.%2"/>
      <w:lvlJc w:val="left"/>
      <w:pPr>
        <w:ind w:left="1531" w:hanging="1174"/>
      </w:pPr>
      <w:rPr>
        <w:rFonts w:hint="default"/>
      </w:rPr>
    </w:lvl>
    <w:lvl w:ilvl="2" w:tplc="E24AB37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8D28A4C8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40543B9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04C32A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8796E72C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0CA45FB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BC221C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74A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6F20326"/>
    <w:multiLevelType w:val="hybridMultilevel"/>
    <w:tmpl w:val="64A0AFE8"/>
    <w:lvl w:ilvl="0" w:tplc="BA9EDEE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A270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C061547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A14552A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FFD6BE1"/>
    <w:multiLevelType w:val="hybridMultilevel"/>
    <w:tmpl w:val="2668E608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AE97813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B1570DC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639C1B28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1E7058D"/>
    <w:multiLevelType w:val="hybridMultilevel"/>
    <w:tmpl w:val="BA2A77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37A672B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4B804CE"/>
    <w:multiLevelType w:val="hybridMultilevel"/>
    <w:tmpl w:val="052A84F8"/>
    <w:lvl w:ilvl="0" w:tplc="BF5017B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EBD255E4">
      <w:start w:val="1"/>
      <w:numFmt w:val="decimal"/>
      <w:lvlText w:val="B.2.%2"/>
      <w:lvlJc w:val="left"/>
      <w:pPr>
        <w:ind w:left="720" w:hanging="360"/>
      </w:pPr>
      <w:rPr>
        <w:rFonts w:hint="default"/>
      </w:rPr>
    </w:lvl>
    <w:lvl w:ilvl="2" w:tplc="612C3EC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9D543D7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E3BEAC4E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BD4EED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42274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2E828F9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6A419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"/>
  </w:num>
  <w:num w:numId="5">
    <w:abstractNumId w:val="13"/>
  </w:num>
  <w:num w:numId="6">
    <w:abstractNumId w:val="19"/>
  </w:num>
  <w:num w:numId="7">
    <w:abstractNumId w:val="14"/>
  </w:num>
  <w:num w:numId="8">
    <w:abstractNumId w:val="16"/>
  </w:num>
  <w:num w:numId="9">
    <w:abstractNumId w:val="3"/>
  </w:num>
  <w:num w:numId="10">
    <w:abstractNumId w:val="10"/>
  </w:num>
  <w:num w:numId="11">
    <w:abstractNumId w:val="2"/>
  </w:num>
  <w:num w:numId="12">
    <w:abstractNumId w:val="21"/>
  </w:num>
  <w:num w:numId="13">
    <w:abstractNumId w:val="23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0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11"/>
  </w:num>
  <w:num w:numId="24">
    <w:abstractNumId w:val="6"/>
  </w:num>
  <w:num w:numId="25">
    <w:abstractNumId w:val="8"/>
  </w:num>
  <w:num w:numId="26">
    <w:abstractNumId w:val="6"/>
  </w:num>
  <w:num w:numId="27">
    <w:abstractNumId w:val="22"/>
  </w:num>
  <w:num w:numId="28">
    <w:abstractNumId w:val="6"/>
  </w:num>
  <w:num w:numId="29">
    <w:abstractNumId w:val="6"/>
  </w:num>
  <w:num w:numId="30">
    <w:abstractNumId w:val="4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17"/>
  </w:num>
  <w:num w:numId="36">
    <w:abstractNumId w:val="6"/>
  </w:num>
  <w:num w:numId="37">
    <w:abstractNumId w:val="7"/>
  </w:num>
  <w:num w:numId="38">
    <w:abstractNumId w:val="6"/>
  </w:num>
  <w:num w:numId="39">
    <w:abstractNumId w:val="18"/>
  </w:num>
  <w:num w:numId="40">
    <w:abstractNumId w:val="15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C0D"/>
    <w:rsid w:val="00030463"/>
    <w:rsid w:val="000332A0"/>
    <w:rsid w:val="00040AEC"/>
    <w:rsid w:val="00062497"/>
    <w:rsid w:val="00064E66"/>
    <w:rsid w:val="00081542"/>
    <w:rsid w:val="000877C9"/>
    <w:rsid w:val="00093BE2"/>
    <w:rsid w:val="00094C60"/>
    <w:rsid w:val="00097DD5"/>
    <w:rsid w:val="000A00E7"/>
    <w:rsid w:val="000A179C"/>
    <w:rsid w:val="000B28EA"/>
    <w:rsid w:val="000D3F93"/>
    <w:rsid w:val="000E7158"/>
    <w:rsid w:val="000F5791"/>
    <w:rsid w:val="00112628"/>
    <w:rsid w:val="00115DC6"/>
    <w:rsid w:val="001414D0"/>
    <w:rsid w:val="001546FA"/>
    <w:rsid w:val="001657F6"/>
    <w:rsid w:val="0016702D"/>
    <w:rsid w:val="00175C3B"/>
    <w:rsid w:val="00180526"/>
    <w:rsid w:val="001A2B55"/>
    <w:rsid w:val="001A42DB"/>
    <w:rsid w:val="001C2B3A"/>
    <w:rsid w:val="001C76FF"/>
    <w:rsid w:val="001D2117"/>
    <w:rsid w:val="001D4DB8"/>
    <w:rsid w:val="001D7D53"/>
    <w:rsid w:val="001F180B"/>
    <w:rsid w:val="001F3C8F"/>
    <w:rsid w:val="002056B9"/>
    <w:rsid w:val="00215728"/>
    <w:rsid w:val="00237629"/>
    <w:rsid w:val="00245BE4"/>
    <w:rsid w:val="00247776"/>
    <w:rsid w:val="00264FFE"/>
    <w:rsid w:val="00266F78"/>
    <w:rsid w:val="00282659"/>
    <w:rsid w:val="002956D1"/>
    <w:rsid w:val="002A31B1"/>
    <w:rsid w:val="002A67FB"/>
    <w:rsid w:val="002C4225"/>
    <w:rsid w:val="002C7194"/>
    <w:rsid w:val="00302191"/>
    <w:rsid w:val="0031695B"/>
    <w:rsid w:val="00330826"/>
    <w:rsid w:val="003319FC"/>
    <w:rsid w:val="00331C6E"/>
    <w:rsid w:val="003323E0"/>
    <w:rsid w:val="00332C40"/>
    <w:rsid w:val="003370C1"/>
    <w:rsid w:val="00343AF0"/>
    <w:rsid w:val="003441A6"/>
    <w:rsid w:val="0034610E"/>
    <w:rsid w:val="00362C26"/>
    <w:rsid w:val="003768A9"/>
    <w:rsid w:val="00376F0C"/>
    <w:rsid w:val="00397261"/>
    <w:rsid w:val="003D2AD5"/>
    <w:rsid w:val="003E1237"/>
    <w:rsid w:val="003E3DA9"/>
    <w:rsid w:val="003F5EB0"/>
    <w:rsid w:val="003F7916"/>
    <w:rsid w:val="00404AAB"/>
    <w:rsid w:val="00414332"/>
    <w:rsid w:val="004218E7"/>
    <w:rsid w:val="004224F3"/>
    <w:rsid w:val="00431132"/>
    <w:rsid w:val="00433CD5"/>
    <w:rsid w:val="00441502"/>
    <w:rsid w:val="00441F44"/>
    <w:rsid w:val="00444531"/>
    <w:rsid w:val="00444649"/>
    <w:rsid w:val="0044507B"/>
    <w:rsid w:val="004473A7"/>
    <w:rsid w:val="00447D8F"/>
    <w:rsid w:val="004526AD"/>
    <w:rsid w:val="00471714"/>
    <w:rsid w:val="004A2A4A"/>
    <w:rsid w:val="004A4FED"/>
    <w:rsid w:val="004B310B"/>
    <w:rsid w:val="004B3608"/>
    <w:rsid w:val="004C1F9E"/>
    <w:rsid w:val="004C77AF"/>
    <w:rsid w:val="004D60A7"/>
    <w:rsid w:val="004E4D4F"/>
    <w:rsid w:val="004F2685"/>
    <w:rsid w:val="00501AC7"/>
    <w:rsid w:val="00502015"/>
    <w:rsid w:val="00503E82"/>
    <w:rsid w:val="00526B12"/>
    <w:rsid w:val="00542572"/>
    <w:rsid w:val="00551773"/>
    <w:rsid w:val="0056318E"/>
    <w:rsid w:val="00565CD6"/>
    <w:rsid w:val="00573CE0"/>
    <w:rsid w:val="00573DFE"/>
    <w:rsid w:val="00575DC5"/>
    <w:rsid w:val="00595CA4"/>
    <w:rsid w:val="005A0164"/>
    <w:rsid w:val="005A4494"/>
    <w:rsid w:val="005A6848"/>
    <w:rsid w:val="005C0667"/>
    <w:rsid w:val="005C5116"/>
    <w:rsid w:val="005C7BA1"/>
    <w:rsid w:val="005D0D4C"/>
    <w:rsid w:val="005D56A5"/>
    <w:rsid w:val="005E33BC"/>
    <w:rsid w:val="005E51F8"/>
    <w:rsid w:val="005F0AA8"/>
    <w:rsid w:val="005F1233"/>
    <w:rsid w:val="005F5EAC"/>
    <w:rsid w:val="005F74A4"/>
    <w:rsid w:val="00614ACD"/>
    <w:rsid w:val="00621072"/>
    <w:rsid w:val="006375F8"/>
    <w:rsid w:val="006459C7"/>
    <w:rsid w:val="00646BD5"/>
    <w:rsid w:val="0065708B"/>
    <w:rsid w:val="00657AD6"/>
    <w:rsid w:val="0066307B"/>
    <w:rsid w:val="006841D9"/>
    <w:rsid w:val="0068782F"/>
    <w:rsid w:val="00687D6A"/>
    <w:rsid w:val="006C21EB"/>
    <w:rsid w:val="006C4BF6"/>
    <w:rsid w:val="006C7CBE"/>
    <w:rsid w:val="006D079A"/>
    <w:rsid w:val="006E7B61"/>
    <w:rsid w:val="006F7C00"/>
    <w:rsid w:val="00702C07"/>
    <w:rsid w:val="0070385C"/>
    <w:rsid w:val="007173C7"/>
    <w:rsid w:val="007411BD"/>
    <w:rsid w:val="00745312"/>
    <w:rsid w:val="00755E1B"/>
    <w:rsid w:val="007561BC"/>
    <w:rsid w:val="00764C5C"/>
    <w:rsid w:val="0076611B"/>
    <w:rsid w:val="007A5262"/>
    <w:rsid w:val="007B020E"/>
    <w:rsid w:val="007B0475"/>
    <w:rsid w:val="007B3734"/>
    <w:rsid w:val="007B3AF7"/>
    <w:rsid w:val="007C47A9"/>
    <w:rsid w:val="007D1415"/>
    <w:rsid w:val="007D1C0C"/>
    <w:rsid w:val="007D2794"/>
    <w:rsid w:val="007D3158"/>
    <w:rsid w:val="007D4A55"/>
    <w:rsid w:val="007E757C"/>
    <w:rsid w:val="007F4332"/>
    <w:rsid w:val="007F7515"/>
    <w:rsid w:val="00802C5F"/>
    <w:rsid w:val="00813335"/>
    <w:rsid w:val="008163B2"/>
    <w:rsid w:val="00816D96"/>
    <w:rsid w:val="00822FA4"/>
    <w:rsid w:val="00841560"/>
    <w:rsid w:val="00850A3F"/>
    <w:rsid w:val="00855913"/>
    <w:rsid w:val="0086222B"/>
    <w:rsid w:val="00882EB8"/>
    <w:rsid w:val="008858C5"/>
    <w:rsid w:val="008879E1"/>
    <w:rsid w:val="00890E24"/>
    <w:rsid w:val="00896A37"/>
    <w:rsid w:val="00897BD0"/>
    <w:rsid w:val="008A32D4"/>
    <w:rsid w:val="008A61C2"/>
    <w:rsid w:val="008B60C3"/>
    <w:rsid w:val="008D2736"/>
    <w:rsid w:val="008D3967"/>
    <w:rsid w:val="008E3891"/>
    <w:rsid w:val="008F3511"/>
    <w:rsid w:val="008F5BD4"/>
    <w:rsid w:val="00912E02"/>
    <w:rsid w:val="00914926"/>
    <w:rsid w:val="00921094"/>
    <w:rsid w:val="00927749"/>
    <w:rsid w:val="009455AB"/>
    <w:rsid w:val="009603A0"/>
    <w:rsid w:val="00963173"/>
    <w:rsid w:val="00963603"/>
    <w:rsid w:val="009646C1"/>
    <w:rsid w:val="00985928"/>
    <w:rsid w:val="00996D1F"/>
    <w:rsid w:val="009B0910"/>
    <w:rsid w:val="009B13D1"/>
    <w:rsid w:val="009B76C9"/>
    <w:rsid w:val="009B7897"/>
    <w:rsid w:val="009B79EC"/>
    <w:rsid w:val="009D3263"/>
    <w:rsid w:val="009D4344"/>
    <w:rsid w:val="009D5185"/>
    <w:rsid w:val="009E7E37"/>
    <w:rsid w:val="009F1290"/>
    <w:rsid w:val="00A20133"/>
    <w:rsid w:val="00A4274D"/>
    <w:rsid w:val="00A46A93"/>
    <w:rsid w:val="00A622E4"/>
    <w:rsid w:val="00A84A5F"/>
    <w:rsid w:val="00AA378E"/>
    <w:rsid w:val="00AB1DF5"/>
    <w:rsid w:val="00AC6850"/>
    <w:rsid w:val="00AE4110"/>
    <w:rsid w:val="00AF6D89"/>
    <w:rsid w:val="00B15A63"/>
    <w:rsid w:val="00B3088B"/>
    <w:rsid w:val="00B35845"/>
    <w:rsid w:val="00B512FF"/>
    <w:rsid w:val="00B54AF7"/>
    <w:rsid w:val="00B570D1"/>
    <w:rsid w:val="00B808FF"/>
    <w:rsid w:val="00BA5852"/>
    <w:rsid w:val="00BF1E36"/>
    <w:rsid w:val="00BF47BE"/>
    <w:rsid w:val="00C05CC7"/>
    <w:rsid w:val="00C22397"/>
    <w:rsid w:val="00C36E00"/>
    <w:rsid w:val="00C42700"/>
    <w:rsid w:val="00C52B76"/>
    <w:rsid w:val="00C62D81"/>
    <w:rsid w:val="00C72D8A"/>
    <w:rsid w:val="00C82E82"/>
    <w:rsid w:val="00C907D0"/>
    <w:rsid w:val="00CC349D"/>
    <w:rsid w:val="00CE2DDF"/>
    <w:rsid w:val="00CF31A8"/>
    <w:rsid w:val="00CF3354"/>
    <w:rsid w:val="00D02134"/>
    <w:rsid w:val="00D0284B"/>
    <w:rsid w:val="00D316D6"/>
    <w:rsid w:val="00D56ED5"/>
    <w:rsid w:val="00D76AEF"/>
    <w:rsid w:val="00D77DA8"/>
    <w:rsid w:val="00DA54A0"/>
    <w:rsid w:val="00DA5EF0"/>
    <w:rsid w:val="00DA7552"/>
    <w:rsid w:val="00DB0449"/>
    <w:rsid w:val="00DB6A88"/>
    <w:rsid w:val="00DC2AF0"/>
    <w:rsid w:val="00DE599E"/>
    <w:rsid w:val="00DE7FCA"/>
    <w:rsid w:val="00E1226E"/>
    <w:rsid w:val="00E139B6"/>
    <w:rsid w:val="00E17BB3"/>
    <w:rsid w:val="00E223EB"/>
    <w:rsid w:val="00E32700"/>
    <w:rsid w:val="00E32E09"/>
    <w:rsid w:val="00E40ADF"/>
    <w:rsid w:val="00E41C38"/>
    <w:rsid w:val="00E41F7A"/>
    <w:rsid w:val="00E47654"/>
    <w:rsid w:val="00E74FDA"/>
    <w:rsid w:val="00E85CCF"/>
    <w:rsid w:val="00E8789D"/>
    <w:rsid w:val="00E9009E"/>
    <w:rsid w:val="00EA0E93"/>
    <w:rsid w:val="00EA60B1"/>
    <w:rsid w:val="00EB161D"/>
    <w:rsid w:val="00EB7847"/>
    <w:rsid w:val="00ED11B3"/>
    <w:rsid w:val="00ED2EF8"/>
    <w:rsid w:val="00ED7C43"/>
    <w:rsid w:val="00EE7222"/>
    <w:rsid w:val="00EF3154"/>
    <w:rsid w:val="00EF4B30"/>
    <w:rsid w:val="00F037AA"/>
    <w:rsid w:val="00F237FD"/>
    <w:rsid w:val="00F33757"/>
    <w:rsid w:val="00F340BA"/>
    <w:rsid w:val="00F47553"/>
    <w:rsid w:val="00F50788"/>
    <w:rsid w:val="00F516E9"/>
    <w:rsid w:val="00F70C1A"/>
    <w:rsid w:val="00F752FA"/>
    <w:rsid w:val="00FB2743"/>
    <w:rsid w:val="00FC7AD6"/>
    <w:rsid w:val="00FC7DF8"/>
    <w:rsid w:val="00FE63EB"/>
    <w:rsid w:val="12A4DECE"/>
    <w:rsid w:val="3C1FE331"/>
    <w:rsid w:val="417CEEB7"/>
    <w:rsid w:val="589D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7C86E"/>
  <w15:chartTrackingRefBased/>
  <w15:docId w15:val="{893C0989-FCA9-4125-888A-C9E07BFB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14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uiPriority w:val="99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B30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Prvndek0cm">
    <w:name w:val="Styl První řádek:  0 cm"/>
    <w:basedOn w:val="Normln"/>
    <w:rsid w:val="001414D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1414D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AF78F-EAF8-46FA-AF2C-037CAE543C7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Metadata/LabelInfo0.xml><?xml version="1.0" encoding="utf-8"?>
<clbl:labelList xmlns:clbl="http://schemas.microsoft.com/office/2020/mipLabelMetadata"/>
</file>

<file path=docMetadata/LabelInfo1.xml><?xml version="1.0" encoding="utf-8"?>
<clbl:labelList xmlns:clbl="http://schemas.microsoft.com/office/2020/mipLabelMetadata"/>
</file>

<file path=docMetadata/LabelInfo2.xml><?xml version="1.0" encoding="utf-8"?>
<clbl:labelList xmlns:clbl="http://schemas.microsoft.com/office/2020/mipLabelMetadata"/>
</file>

<file path=docMetadata/LabelInfo3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17</Pages>
  <Words>4509</Words>
  <Characters>26608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31055</CharactersWithSpaces>
  <SharedDoc>false</SharedDoc>
  <HLinks>
    <vt:vector size="258" baseType="variant">
      <vt:variant>
        <vt:i4>1703987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_Toc55326832</vt:lpwstr>
      </vt:variant>
      <vt:variant>
        <vt:i4>1638451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_Toc55326831</vt:lpwstr>
      </vt:variant>
      <vt:variant>
        <vt:i4>1572915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_Toc55326830</vt:lpwstr>
      </vt:variant>
      <vt:variant>
        <vt:i4>1114162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_Toc55326829</vt:lpwstr>
      </vt:variant>
      <vt:variant>
        <vt:i4>1048626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_Toc55326828</vt:lpwstr>
      </vt:variant>
      <vt:variant>
        <vt:i4>2031666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_Toc55326827</vt:lpwstr>
      </vt:variant>
      <vt:variant>
        <vt:i4>1966130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_Toc55326826</vt:lpwstr>
      </vt:variant>
      <vt:variant>
        <vt:i4>1900594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_Toc55326825</vt:lpwstr>
      </vt:variant>
      <vt:variant>
        <vt:i4>1835058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_Toc55326824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_Toc55326823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_Toc55326822</vt:lpwstr>
      </vt:variant>
      <vt:variant>
        <vt:i4>1638450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_Toc55326821</vt:lpwstr>
      </vt:variant>
      <vt:variant>
        <vt:i4>1572914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_Toc55326820</vt:lpwstr>
      </vt:variant>
      <vt:variant>
        <vt:i4>1114161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_Toc55326819</vt:lpwstr>
      </vt:variant>
      <vt:variant>
        <vt:i4>1048625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_Toc55326818</vt:lpwstr>
      </vt:variant>
      <vt:variant>
        <vt:i4>2031665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_Toc55326817</vt:lpwstr>
      </vt:variant>
      <vt:variant>
        <vt:i4>1966129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_Toc55326816</vt:lpwstr>
      </vt:variant>
      <vt:variant>
        <vt:i4>1900593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_Toc55326815</vt:lpwstr>
      </vt:variant>
      <vt:variant>
        <vt:i4>1835057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_Toc55326814</vt:lpwstr>
      </vt:variant>
      <vt:variant>
        <vt:i4>1769521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_Toc55326813</vt:lpwstr>
      </vt:variant>
      <vt:variant>
        <vt:i4>1703985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_Toc55326812</vt:lpwstr>
      </vt:variant>
      <vt:variant>
        <vt:i4>1638449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_Toc55326811</vt:lpwstr>
      </vt:variant>
      <vt:variant>
        <vt:i4>1572913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_Toc55326810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_Toc55326809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_Toc55326808</vt:lpwstr>
      </vt:variant>
      <vt:variant>
        <vt:i4>2031664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_Toc55326807</vt:lpwstr>
      </vt:variant>
      <vt:variant>
        <vt:i4>1966128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_Toc55326806</vt:lpwstr>
      </vt:variant>
      <vt:variant>
        <vt:i4>1900592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_Toc55326805</vt:lpwstr>
      </vt:variant>
      <vt:variant>
        <vt:i4>1835056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_Toc55326804</vt:lpwstr>
      </vt:variant>
      <vt:variant>
        <vt:i4>1769520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_Toc55326803</vt:lpwstr>
      </vt:variant>
      <vt:variant>
        <vt:i4>1703984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_Toc55326802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_Toc55326801</vt:lpwstr>
      </vt:variant>
      <vt:variant>
        <vt:i4>1572912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_Toc55326800</vt:lpwstr>
      </vt:variant>
      <vt:variant>
        <vt:i4>1966137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_Toc55326799</vt:lpwstr>
      </vt:variant>
      <vt:variant>
        <vt:i4>2031673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_Toc55326798</vt:lpwstr>
      </vt:variant>
      <vt:variant>
        <vt:i4>1048633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_Toc55326797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_Toc55326796</vt:lpwstr>
      </vt:variant>
      <vt:variant>
        <vt:i4>1179705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_Toc55326795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_Toc55326794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_Toc55326793</vt:lpwstr>
      </vt:variant>
      <vt:variant>
        <vt:i4>1376313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_Toc55326792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_Toc55326791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_Toc55326790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84</cp:revision>
  <cp:lastPrinted>2020-11-17T16:49:00Z</cp:lastPrinted>
  <dcterms:created xsi:type="dcterms:W3CDTF">2020-11-03T04:36:00Z</dcterms:created>
  <dcterms:modified xsi:type="dcterms:W3CDTF">2020-11-24T09:56:00Z</dcterms:modified>
</cp:coreProperties>
</file>